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0E6" w:rsidRDefault="008E6B20">
      <w:pPr>
        <w:pStyle w:val="papertitle"/>
      </w:pPr>
      <w:r>
        <w:t>DEMView: 3-D Visualization of DEM Error</w:t>
      </w:r>
    </w:p>
    <w:p w:rsidR="000D40E6" w:rsidRDefault="000D40E6">
      <w:pPr>
        <w:pStyle w:val="papersubtitle"/>
        <w:jc w:val="left"/>
      </w:pPr>
    </w:p>
    <w:p w:rsidR="000D40E6" w:rsidRDefault="000D40E6">
      <w:pPr>
        <w:pStyle w:val="papersubtitle"/>
        <w:jc w:val="both"/>
        <w:sectPr w:rsidR="000D40E6">
          <w:type w:val="continuous"/>
          <w:pgSz w:w="11909" w:h="16834" w:code="9"/>
          <w:pgMar w:top="1080" w:right="734" w:bottom="2434" w:left="734" w:header="720" w:footer="720" w:gutter="0"/>
          <w:cols w:space="720"/>
          <w:docGrid w:linePitch="360"/>
        </w:sectPr>
      </w:pPr>
    </w:p>
    <w:p w:rsidR="000D40E6" w:rsidRDefault="008E6B20">
      <w:pPr>
        <w:pStyle w:val="Author"/>
      </w:pPr>
      <w:r>
        <w:lastRenderedPageBreak/>
        <w:t>Michael B. Gousie</w:t>
      </w:r>
    </w:p>
    <w:p w:rsidR="000D40E6" w:rsidRDefault="008E6B20">
      <w:pPr>
        <w:pStyle w:val="Affiliation"/>
        <w:rPr>
          <w:rFonts w:eastAsia="MS Mincho"/>
        </w:rPr>
      </w:pPr>
      <w:r>
        <w:rPr>
          <w:rFonts w:eastAsia="MS Mincho"/>
          <w:lang w:val="en-GB"/>
        </w:rPr>
        <w:t>Department of Math &amp; Computer Science</w:t>
      </w:r>
    </w:p>
    <w:p w:rsidR="000D40E6" w:rsidRDefault="008E6B20">
      <w:pPr>
        <w:pStyle w:val="Affiliation"/>
        <w:rPr>
          <w:rFonts w:eastAsia="MS Mincho"/>
        </w:rPr>
      </w:pPr>
      <w:r>
        <w:rPr>
          <w:rFonts w:eastAsia="MS Mincho"/>
          <w:lang w:val="en-GB"/>
        </w:rPr>
        <w:t>Wheaton College</w:t>
      </w:r>
    </w:p>
    <w:p w:rsidR="000D40E6" w:rsidRDefault="008E6B20">
      <w:pPr>
        <w:pStyle w:val="Affiliation"/>
        <w:rPr>
          <w:rFonts w:eastAsia="MS Mincho"/>
        </w:rPr>
      </w:pPr>
      <w:r>
        <w:rPr>
          <w:rFonts w:eastAsia="MS Mincho"/>
        </w:rPr>
        <w:t>Massachusetts, USA</w:t>
      </w:r>
    </w:p>
    <w:p w:rsidR="000D40E6" w:rsidRDefault="008E6B20">
      <w:pPr>
        <w:pStyle w:val="Affiliation"/>
        <w:rPr>
          <w:rFonts w:eastAsia="MS Mincho"/>
        </w:rPr>
      </w:pPr>
      <w:r>
        <w:rPr>
          <w:rFonts w:eastAsia="MS Mincho"/>
        </w:rPr>
        <w:t>mgousie@wheatoncollege.edu</w:t>
      </w:r>
    </w:p>
    <w:p w:rsidR="000D40E6" w:rsidRDefault="000D40E6">
      <w:pPr>
        <w:pStyle w:val="Affiliation"/>
        <w:rPr>
          <w:rFonts w:eastAsia="MS Mincho"/>
        </w:rPr>
      </w:pPr>
    </w:p>
    <w:p w:rsidR="000D40E6" w:rsidRDefault="008E6B20">
      <w:pPr>
        <w:pStyle w:val="Affiliation"/>
        <w:rPr>
          <w:rFonts w:eastAsia="MS Mincho"/>
          <w:sz w:val="22"/>
        </w:rPr>
      </w:pPr>
      <w:r>
        <w:rPr>
          <w:rFonts w:eastAsia="MS Mincho"/>
          <w:sz w:val="22"/>
        </w:rPr>
        <w:lastRenderedPageBreak/>
        <w:t>Michael Smith</w:t>
      </w:r>
    </w:p>
    <w:p w:rsidR="000D40E6" w:rsidRDefault="008E6B20">
      <w:r>
        <w:rPr>
          <w:lang w:val="en-GB"/>
        </w:rPr>
        <w:t>School of Geography, Geology and the Environment</w:t>
      </w:r>
    </w:p>
    <w:p w:rsidR="000D40E6" w:rsidRDefault="008E6B20">
      <w:pPr>
        <w:pStyle w:val="Affiliation"/>
        <w:rPr>
          <w:rFonts w:eastAsia="MS Mincho"/>
        </w:rPr>
      </w:pPr>
      <w:r>
        <w:rPr>
          <w:rFonts w:eastAsia="MS Mincho"/>
          <w:lang w:val="en-GB"/>
        </w:rPr>
        <w:t>Kingston University</w:t>
      </w:r>
    </w:p>
    <w:p w:rsidR="000D40E6" w:rsidRDefault="008E6B20">
      <w:pPr>
        <w:pStyle w:val="Affiliation"/>
        <w:rPr>
          <w:rFonts w:eastAsia="MS Mincho"/>
        </w:rPr>
      </w:pPr>
      <w:r>
        <w:rPr>
          <w:rFonts w:eastAsia="MS Mincho"/>
        </w:rPr>
        <w:t>Kingston-upon-Thames, UK</w:t>
      </w:r>
    </w:p>
    <w:p w:rsidR="000D40E6" w:rsidRDefault="008E6B20">
      <w:pPr>
        <w:pStyle w:val="Affiliation"/>
        <w:rPr>
          <w:rFonts w:eastAsia="MS Mincho"/>
        </w:rPr>
      </w:pPr>
      <w:r>
        <w:rPr>
          <w:rFonts w:eastAsia="MS Mincho"/>
        </w:rPr>
        <w:t>michael.smith@kingston.ac.uk</w:t>
      </w:r>
    </w:p>
    <w:p w:rsidR="000D40E6" w:rsidRDefault="000D40E6">
      <w:pPr>
        <w:pStyle w:val="Affiliation"/>
        <w:rPr>
          <w:rFonts w:eastAsia="MS Mincho"/>
        </w:rPr>
      </w:pPr>
    </w:p>
    <w:p w:rsidR="000D40E6" w:rsidRDefault="000D40E6">
      <w:pPr>
        <w:pStyle w:val="Affiliation"/>
        <w:rPr>
          <w:rFonts w:eastAsia="MS Mincho"/>
        </w:rPr>
        <w:sectPr w:rsidR="000D40E6">
          <w:type w:val="continuous"/>
          <w:pgSz w:w="11909" w:h="16834" w:code="9"/>
          <w:pgMar w:top="1080" w:right="734" w:bottom="2434" w:left="734" w:header="720" w:footer="720" w:gutter="0"/>
          <w:cols w:num="2" w:space="720"/>
          <w:docGrid w:linePitch="360"/>
        </w:sectPr>
      </w:pPr>
    </w:p>
    <w:p w:rsidR="000D40E6" w:rsidRDefault="000D40E6">
      <w:pPr>
        <w:pStyle w:val="Affiliation"/>
        <w:rPr>
          <w:rFonts w:eastAsia="MS Mincho"/>
        </w:rPr>
      </w:pPr>
    </w:p>
    <w:p w:rsidR="000D40E6" w:rsidRDefault="008E6B20">
      <w:pPr>
        <w:pStyle w:val="Abstract"/>
        <w:rPr>
          <w:rFonts w:eastAsia="MS Mincho"/>
        </w:rPr>
      </w:pPr>
      <w:r>
        <w:rPr>
          <w:rFonts w:eastAsia="MS Mincho"/>
          <w:i/>
        </w:rPr>
        <w:t>Abstract</w:t>
      </w:r>
      <w:r>
        <w:rPr>
          <w:rFonts w:eastAsia="MS Mincho"/>
        </w:rPr>
        <w:t>—It is well known that a digital elevation model (DEM) may contain systematic or other errors.  In many 3-D visualization systems, problems in the data may be highlighted, but it is often difficult for the viewer to discern the exact nature of the problem.   We present DEMView, a viewing and error assessment system specifically for use with DEMs.  The system displays a DEM in 3-D with the usual translation, rotation, and zooming tools.  However, the system incorporates a suite of visual (qualitative) and statistical (quantitative) assessment tools that help a researcher determine and analyze errors and uncertainty in a given DEM.  A case study shows the efficacy of the system..</w:t>
      </w:r>
    </w:p>
    <w:p w:rsidR="000D40E6" w:rsidRDefault="008E6B20">
      <w:pPr>
        <w:pStyle w:val="keywords"/>
        <w:ind w:firstLine="0"/>
        <w:rPr>
          <w:rFonts w:eastAsia="MS Mincho"/>
        </w:rPr>
      </w:pPr>
      <w:r>
        <w:rPr>
          <w:rFonts w:eastAsia="MS Mincho"/>
        </w:rPr>
        <w:t>Keywords: DEM; error; viewer; 3-D; visualization</w:t>
      </w:r>
    </w:p>
    <w:p w:rsidR="000D40E6" w:rsidRDefault="008E6B20">
      <w:pPr>
        <w:pStyle w:val="Heading1"/>
      </w:pPr>
      <w:r>
        <w:t xml:space="preserve"> Introduction</w:t>
      </w:r>
    </w:p>
    <w:p w:rsidR="000D40E6" w:rsidRDefault="008E6B20">
      <w:pPr>
        <w:pStyle w:val="BodyText"/>
        <w:ind w:firstLine="216"/>
      </w:pPr>
      <w:r>
        <w:t>The digital elevation model (DEM), where elevation values are stored in a regular grid, is ubiquitous in computer geo-processing.  A specific DEM may be created via one of many methods, such as interpolating from contours or LIDAR point clouds, or derived from interferometric SAR.  No m</w:t>
      </w:r>
      <w:r w:rsidR="0034689C">
        <w:t xml:space="preserve">atter how the DEM is computed, </w:t>
      </w:r>
      <w:r>
        <w:t>it will invariably contain systematic or other measurement or estimation problems; e.g., the interpolation of sparse data.  Similarly, a DEM may show uncertainties in the da</w:t>
      </w:r>
      <w:r w:rsidR="0034689C">
        <w:t xml:space="preserve">ta due to data representation; </w:t>
      </w:r>
      <w:r>
        <w:t>e.g., differences in DEM resolutions (Fisher, 2006).</w:t>
      </w:r>
    </w:p>
    <w:p w:rsidR="000D40E6" w:rsidRDefault="008E6B20">
      <w:pPr>
        <w:pStyle w:val="BodyText"/>
        <w:ind w:firstLine="216"/>
      </w:pPr>
      <w:r>
        <w:t>DEM errors may be displayed by any number of visualization or geographical information systems.  These visualizations range from simply rendering the DEM via a shaded-relief map, to overlaying colors/textures representing the magnitude of various quantified errors, to adding special glyphs to indicate additional information such as direction.  No matter what the visualization, two problems are manifest: (1) it is often difficult for the viewer to perceive small scale problems within the context of an entire DEM and (2) it may be quite time consuming to find the desired functions in a large system, or the user is required to write a script to realize the desired functionality. Here we describe a prototype visualization system built solely for the purpose of viewing DEMs and assessing errors.  One of the novel features is a “profile cutter” that allows the user to see small scale details in 2-D within the context of a 3-D DEM visualization.</w:t>
      </w:r>
    </w:p>
    <w:p w:rsidR="000D40E6" w:rsidRDefault="008E6B20">
      <w:pPr>
        <w:pStyle w:val="Heading1"/>
      </w:pPr>
      <w:r>
        <w:t>Related Work</w:t>
      </w:r>
    </w:p>
    <w:p w:rsidR="000D40E6" w:rsidRDefault="008E6B20">
      <w:pPr>
        <w:pStyle w:val="BodyText"/>
      </w:pPr>
      <w:r>
        <w:t>The problem of assessing error and/or uncertainty in a DEM can be broken into two parts: (1) quantifyin</w:t>
      </w:r>
      <w:r w:rsidR="0034689C">
        <w:t xml:space="preserve">g the error </w:t>
      </w:r>
      <w:r w:rsidR="0034689C">
        <w:lastRenderedPageBreak/>
        <w:t xml:space="preserve">and (2) producing a </w:t>
      </w:r>
      <w:r>
        <w:t>visualization for assessed errors.  Various approaches to ascertaining the extent of DEM error have been proposed (Fisher, 2006) and these are outlined below.</w:t>
      </w:r>
    </w:p>
    <w:p w:rsidR="000D40E6" w:rsidRDefault="008E6B20">
      <w:pPr>
        <w:pStyle w:val="BodyText"/>
      </w:pPr>
      <w:r>
        <w:t>A standard uncertainty measure is the root mean square error (RMSE), which compares a DEM height point with a corresponding elevation from an accurate source (Rinehart, 1988). However, RMSE only provides a global measure of the validity of a DEM. Carrara et al. (Carrara, 1997) use several analysis techniques, including determining if DEM heights fall between contour elevations.  One way to test this is to create profile plots with the contour elevations highlighted (Gousie, 2005), while another method is to use elevation histograms to show if there is a linear fit between contours (Carrara, 1997; Reichenbach, 1993).  One can also compute the smoothness of a DEM by computing the total squared curvature (Briggs, 1974) or, similarly, finding local curvature.  Fisher (1998) computed several statistics after comparing a DEM with established spot heights and computed a probable viewshed.  Errors, based on grid bias, can be found by comparing drainage networks extracted by multiple rotations of the DEM (Chearleux-Demargne, 2000).  Rigorous statistical models have also been proposed (Carlisle, 2005).</w:t>
      </w:r>
    </w:p>
    <w:p w:rsidR="000D40E6" w:rsidRDefault="008E6B20">
      <w:pPr>
        <w:pStyle w:val="BodyText"/>
      </w:pPr>
      <w:r>
        <w:t>Visualization of error gives the viewer immediate feedback to potential problems, with Wood and Fisher (1993) early proponents of such techniques. They compared several interpolated DEMs by displaying visualizations of aspect, Laplacian filtering that highlights sudden changes in elevation, RMSE, and shaded relief.  Much work has been done in uncertainty visualization, for example using glyphs, translating/rotating surface patches to highlight potential error and altering lighting parameters (Pang, 1996; Johnson, 2003).  MacEachren et al. (2005) provide a comprehensive overview of the state of visualizing uncertainty in geospatial domains.</w:t>
      </w:r>
    </w:p>
    <w:p w:rsidR="000D40E6" w:rsidRPr="00BF1D0E" w:rsidRDefault="008E6B20" w:rsidP="00BF1D0E">
      <w:pPr>
        <w:pStyle w:val="BodyText"/>
        <w:ind w:firstLine="216"/>
      </w:pPr>
      <w:r>
        <w:t xml:space="preserve">There are many GIS that have good 3-D visualization capability and at least some uncertainty visualization features, of which the following is a sampling: textures are shown to be useful for terrain visualization (Dollner, 2000); Terrafly (Rishe, 2004) displays satellite imagery and other data in various resolutions; GeoZui3D (Ware, 2001) supports multiple linked views where the user can view the overall area and a smaller portion at a much greater resolution; Brooks (2005) describes 2-D and 3-D views of the same data; Landserf incorporates some error capabilities (Wood, 1996, Raper, 2002), including shaded relief, curvature </w:t>
      </w:r>
      <w:r w:rsidR="008D3D38">
        <w:rPr>
          <w:noProof/>
        </w:rPr>
        <w:lastRenderedPageBreak/>
        <w:pict>
          <v:shapetype id="_x0000_t202" coordsize="21600,21600" o:spt="202" path="m,l,21600r21600,l21600,xe">
            <v:stroke joinstyle="miter"/>
            <v:path gradientshapeok="t" o:connecttype="rect"/>
          </v:shapetype>
          <v:shape id="_x0000_s1046" type="#_x0000_t202" style="position:absolute;left:0;text-align:left;margin-left:.25pt;margin-top:3pt;width:242.5pt;height:218.3pt;z-index:251658240;mso-position-horizontal-relative:text;mso-position-vertical-relative:text;mso-width-relative:margin;mso-height-relative:margin" o:allowoverlap="f" stroked="f">
            <v:textbox style="mso-next-textbox:#_x0000_s1046">
              <w:txbxContent>
                <w:p w:rsidR="001C1115" w:rsidRDefault="001C1115" w:rsidP="001C1115">
                  <w:pPr>
                    <w:keepNext/>
                  </w:pPr>
                  <w:r>
                    <w:rPr>
                      <w:noProof/>
                    </w:rPr>
                    <w:drawing>
                      <wp:inline distT="0" distB="0" distL="0" distR="0">
                        <wp:extent cx="2709158" cy="2301838"/>
                        <wp:effectExtent l="19050" t="0" r="0" b="0"/>
                        <wp:docPr id="1" name="Picture 0" descr="franconiaAl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oniaAll.tiff"/>
                                <pic:cNvPicPr/>
                              </pic:nvPicPr>
                              <pic:blipFill>
                                <a:blip r:embed="rId7"/>
                                <a:stretch>
                                  <a:fillRect/>
                                </a:stretch>
                              </pic:blipFill>
                              <pic:spPr>
                                <a:xfrm>
                                  <a:off x="0" y="0"/>
                                  <a:ext cx="2704376" cy="2297775"/>
                                </a:xfrm>
                                <a:prstGeom prst="rect">
                                  <a:avLst/>
                                </a:prstGeom>
                              </pic:spPr>
                            </pic:pic>
                          </a:graphicData>
                        </a:graphic>
                      </wp:inline>
                    </w:drawing>
                  </w:r>
                </w:p>
                <w:p w:rsidR="001C1115" w:rsidRPr="009C6F07" w:rsidRDefault="001C1115" w:rsidP="001C1115">
                  <w:pPr>
                    <w:keepNext/>
                    <w:rPr>
                      <w:sz w:val="16"/>
                      <w:szCs w:val="16"/>
                    </w:rPr>
                  </w:pPr>
                  <w:r w:rsidRPr="009C6F07">
                    <w:rPr>
                      <w:bCs/>
                      <w:sz w:val="16"/>
                      <w:szCs w:val="16"/>
                    </w:rPr>
                    <w:t>Figure 1.  DEMView showing DEM of Franconia with curvature error; beige indicates a curvature over two feet with the hue changing to orange indicating curvature over six feet</w:t>
                  </w:r>
                </w:p>
                <w:p w:rsidR="001C1115" w:rsidRDefault="001C1115" w:rsidP="001C1115"/>
              </w:txbxContent>
            </v:textbox>
            <w10:wrap type="square"/>
          </v:shape>
        </w:pict>
      </w:r>
      <w:r>
        <w:t>visualization, peak classification, and others; Wiggenhagen (2000) describes a tool dedicated to displaying geographic areas and some errors using orthoimages; a thorough statistical and visual comparison between a DEM computed from contours and LIDAR data (Oksanen, 2006); and VisTRE (Healey, 2006), a system designed expressly for visualizing terrain errors, guided by psychophysical studies to maximize the effectiveness of the visualizations while limiting perceptual biases.</w:t>
      </w:r>
    </w:p>
    <w:p w:rsidR="000D40E6" w:rsidRDefault="008E6B20">
      <w:pPr>
        <w:pStyle w:val="Heading1"/>
      </w:pPr>
      <w:r>
        <w:t>Overview of DEMView (DEM Viewer)</w:t>
      </w:r>
    </w:p>
    <w:p w:rsidR="000D40E6" w:rsidRDefault="008E6B20">
      <w:pPr>
        <w:pStyle w:val="BodyText"/>
      </w:pPr>
      <w:r>
        <w:t>DEMView is a prototype system for DEM error visualization, written in C++ with the OpenGL Application Programming Interface (API) for the graphics rendering, the OpenGL Utility Toolkit (GLUT) f</w:t>
      </w:r>
      <w:r w:rsidR="003425FA">
        <w:t>or the window system, and Fast Light Toolkit (FLTK)</w:t>
      </w:r>
      <w:r>
        <w:t xml:space="preserve"> for the graphical user interface (GUI). Fig. 1 shows the system displaying one of the study areas, a 1709 x 1773 10-meter DEM taken from the 7.5' USGS National Elevation Dataset covering Franconia, NH. The program reads data files in standard </w:t>
      </w:r>
      <w:r w:rsidR="003425FA">
        <w:t>ARC/INFO</w:t>
      </w:r>
      <w:r>
        <w:t xml:space="preserve"> ASCII grid format.  Note how the visualization shows a grayer color in areas above the tree line and where the slope is steep. The user may specify the tree line elevation and the appropriate slope angle for the particular map area.</w:t>
      </w:r>
    </w:p>
    <w:p w:rsidR="000D40E6" w:rsidRDefault="008E6B20">
      <w:pPr>
        <w:pStyle w:val="BodyText"/>
      </w:pPr>
      <w:r>
        <w:t>A distinguishing feature of this visualization system is that the GUI is designed specifically for visualizing uncertainty in DEMs.  All features are displayed on the front panel, as well as being available through menus.  The system includes standard functionality of DEM visualization, including rotation and zooming.  Common positions, such as top or side view, can be achieved through one button click instead of using the mouse to move the surface until the desired view is found.  Contours or sparse data can be overlayed on the DEM; the latter can often be difficult</w:t>
      </w:r>
      <w:r w:rsidR="0034689C">
        <w:t xml:space="preserve"> to see on large DEMs, however </w:t>
      </w:r>
      <w:r>
        <w:t>in DEMView they are displayed using cubes that are easily seen.  Contour, sparse, or full DEM data can be used to compare with the initial DEM, and several assessment visualizations can be displayed.  In all cases, no special scripts or multiple levels of menus are required.</w:t>
      </w:r>
    </w:p>
    <w:p w:rsidR="000D40E6" w:rsidRDefault="008E6B20">
      <w:pPr>
        <w:pStyle w:val="Heading2"/>
      </w:pPr>
      <w:r>
        <w:lastRenderedPageBreak/>
        <w:t>Curvature and Difference Visualization</w:t>
      </w:r>
    </w:p>
    <w:p w:rsidR="000D40E6" w:rsidRDefault="008E6B20">
      <w:pPr>
        <w:pStyle w:val="BodyText"/>
      </w:pPr>
      <w:r>
        <w:t xml:space="preserve">The overall smoothness of a DEM can be computed by finding the total squared curvature, </w:t>
      </w:r>
      <w:r>
        <w:rPr>
          <w:rFonts w:ascii="Cambria Math" w:hAnsi="Cambria Math"/>
          <w:i/>
        </w:rPr>
        <w:t>C</w:t>
      </w:r>
      <w:r>
        <w:rPr>
          <w:rFonts w:ascii="Cambria Math" w:hAnsi="Cambria Math"/>
          <w:i/>
          <w:vertAlign w:val="subscript"/>
        </w:rPr>
        <w:t>sq</w:t>
      </w:r>
      <w:r>
        <w:t xml:space="preserve"> (Briggs, 1974):  </w:t>
      </w:r>
      <w:r>
        <w:rPr>
          <w:rFonts w:ascii="Cambria Math" w:hAnsi="Cambria Math"/>
        </w:rPr>
        <w:br/>
      </w:r>
      <m:oMathPara>
        <m:oMath>
          <m:sSub>
            <m:sSubPr>
              <m:ctrlPr>
                <w:rPr>
                  <w:rFonts w:ascii="Cambria Math" w:hAnsi="Cambria Math"/>
                  <w:i/>
                </w:rPr>
              </m:ctrlPr>
            </m:sSubPr>
            <m:e>
              <m:r>
                <w:rPr>
                  <w:rFonts w:ascii="Cambria Math" w:hAnsi="Cambria Math"/>
                </w:rPr>
                <m:t>C</m:t>
              </m:r>
            </m:e>
            <m:sub>
              <m:r>
                <w:rPr>
                  <w:rFonts w:ascii="Cambria Math" w:hAnsi="Cambria Math"/>
                </w:rPr>
                <m:t>sq</m:t>
              </m:r>
            </m:sub>
          </m:sSub>
          <m:r>
            <w:rPr>
              <w:rFonts w:ascii="Cambria Math" w:hAnsi="Cambria Math"/>
            </w:rPr>
            <m:t>=</m:t>
          </m:r>
          <m:nary>
            <m:naryPr>
              <m:chr m:val="∑"/>
              <m:limLoc m:val="undOvr"/>
              <m:subHide m:val="on"/>
              <m:supHide m:val="on"/>
              <m:ctrlPr>
                <w:rPr>
                  <w:rFonts w:ascii="Cambria Math" w:hAnsi="Cambria Math"/>
                  <w:i/>
                </w:rPr>
              </m:ctrlPr>
            </m:naryPr>
            <m:sub/>
            <m:sup/>
            <m:e>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(u</m:t>
                      </m:r>
                    </m:e>
                    <m:sub>
                      <m:r>
                        <w:rPr>
                          <w:rFonts w:ascii="Cambria Math" w:hAnsi="Cambria Math"/>
                        </w:rPr>
                        <m:t>i+1,j</m:t>
                      </m:r>
                    </m:sub>
                  </m:sSub>
                </m:e>
              </m:nary>
            </m:e>
          </m:nary>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i-1, j</m:t>
              </m:r>
            </m:sub>
          </m:sSub>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i, j+1</m:t>
              </m:r>
            </m:sub>
          </m:sSub>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i, j-1</m:t>
              </m:r>
            </m:sub>
          </m:sSub>
          <m:r>
            <w:rPr>
              <w:rFonts w:ascii="Cambria Math" w:hAnsi="Cambria Math"/>
            </w:rPr>
            <m:t>- 4</m:t>
          </m:r>
          <m:sSub>
            <m:sSubPr>
              <m:ctrlPr>
                <w:rPr>
                  <w:rFonts w:ascii="Cambria Math" w:hAnsi="Cambria Math"/>
                  <w:i/>
                </w:rPr>
              </m:ctrlPr>
            </m:sSubPr>
            <m:e>
              <m:r>
                <w:rPr>
                  <w:rFonts w:ascii="Cambria Math" w:hAnsi="Cambria Math"/>
                </w:rPr>
                <m:t>u</m:t>
              </m:r>
            </m:e>
            <m:sub>
              <m:r>
                <w:rPr>
                  <w:rFonts w:ascii="Cambria Math" w:hAnsi="Cambria Math"/>
                </w:rPr>
                <m:t>i, j</m:t>
              </m:r>
            </m:sub>
          </m:sSub>
          <m:sSup>
            <m:sSupPr>
              <m:ctrlPr>
                <w:rPr>
                  <w:rFonts w:ascii="Cambria Math" w:hAnsi="Cambria Math"/>
                  <w:i/>
                </w:rPr>
              </m:ctrlPr>
            </m:sSupPr>
            <m:e>
              <m:r>
                <w:rPr>
                  <w:rFonts w:ascii="Cambria Math" w:hAnsi="Cambria Math"/>
                </w:rPr>
                <m:t>)</m:t>
              </m:r>
            </m:e>
            <m:sup>
              <m:r>
                <w:rPr>
                  <w:rFonts w:ascii="Cambria Math" w:hAnsi="Cambria Math"/>
                </w:rPr>
                <m:t>2</m:t>
              </m:r>
            </m:sup>
          </m:sSup>
        </m:oMath>
      </m:oMathPara>
    </w:p>
    <w:p w:rsidR="000D40E6" w:rsidRDefault="008E6B20">
      <w:pPr>
        <w:pStyle w:val="BodyText"/>
      </w:pPr>
      <w:r>
        <w:t xml:space="preserve">The total squared curvature may be biased if there are large problem areas in a DEM.  To mitigate this, an indication of local smoothness can be found by averaging the local, or absolute, curvature found at a point </w:t>
      </w:r>
      <w:r>
        <w:rPr>
          <w:rFonts w:ascii="Cambria Math" w:hAnsi="Cambria Math"/>
          <w:i/>
        </w:rPr>
        <w:t>i, j</w:t>
      </w:r>
      <w:r>
        <w:t>:</w:t>
      </w:r>
    </w:p>
    <w:p w:rsidR="00D72040" w:rsidRDefault="008D3D38">
      <w:pPr>
        <w:pStyle w:val="BodyText"/>
      </w:pPr>
      <m:oMathPara>
        <m:oMath>
          <m:sSub>
            <m:sSubPr>
              <m:ctrlPr>
                <w:rPr>
                  <w:rFonts w:ascii="Cambria Math" w:hAnsi="Cambria Math"/>
                  <w:i/>
                </w:rPr>
              </m:ctrlPr>
            </m:sSubPr>
            <m:e>
              <m:r>
                <w:rPr>
                  <w:rFonts w:ascii="Cambria Math" w:hAnsi="Cambria Math"/>
                </w:rPr>
                <m:t>C</m:t>
              </m:r>
            </m:e>
            <m:sub>
              <m:r>
                <w:rPr>
                  <w:rFonts w:ascii="Cambria Math" w:hAnsi="Cambria Math"/>
                </w:rPr>
                <m:t>abs</m:t>
              </m:r>
            </m:sub>
          </m:sSub>
          <m:r>
            <w:rPr>
              <w:rFonts w:ascii="Cambria Math" w:hAnsi="Cambria Math"/>
            </w:rPr>
            <m:t>=</m:t>
          </m:r>
          <m:d>
            <m:dPr>
              <m:beg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i+1,j</m:t>
                  </m:r>
                </m:sub>
              </m:sSub>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i-1, j</m:t>
                  </m:r>
                </m:sub>
              </m:sSub>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i, j+1</m:t>
                  </m:r>
                </m:sub>
              </m:sSub>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i, j-1</m:t>
                  </m:r>
                </m:sub>
              </m:sSub>
              <m:r>
                <w:rPr>
                  <w:rFonts w:ascii="Cambria Math" w:hAnsi="Cambria Math"/>
                </w:rPr>
                <m:t>- 4</m:t>
              </m:r>
              <m:sSub>
                <m:sSubPr>
                  <m:ctrlPr>
                    <w:rPr>
                      <w:rFonts w:ascii="Cambria Math" w:hAnsi="Cambria Math"/>
                      <w:i/>
                    </w:rPr>
                  </m:ctrlPr>
                </m:sSubPr>
                <m:e>
                  <m:r>
                    <w:rPr>
                      <w:rFonts w:ascii="Cambria Math" w:hAnsi="Cambria Math"/>
                    </w:rPr>
                    <m:t>u</m:t>
                  </m:r>
                </m:e>
                <m:sub>
                  <m:r>
                    <w:rPr>
                      <w:rFonts w:ascii="Cambria Math" w:hAnsi="Cambria Math"/>
                    </w:rPr>
                    <m:t>i, j</m:t>
                  </m:r>
                </m:sub>
              </m:sSub>
            </m:e>
          </m:d>
          <m:r>
            <w:rPr>
              <w:rFonts w:ascii="Cambria Math" w:hAnsi="Cambria Math"/>
            </w:rPr>
            <m:t>|</m:t>
          </m:r>
        </m:oMath>
      </m:oMathPara>
    </w:p>
    <w:p w:rsidR="000D40E6" w:rsidRDefault="008E6B20" w:rsidP="00D72040">
      <w:pPr>
        <w:pStyle w:val="BodyText"/>
        <w:ind w:firstLine="0"/>
      </w:pPr>
      <w:r>
        <w:t xml:space="preserve">The value of </w:t>
      </w:r>
      <w:r>
        <w:rPr>
          <w:rFonts w:ascii="Cambria Math" w:hAnsi="Cambria Math"/>
          <w:i/>
        </w:rPr>
        <w:t>C</w:t>
      </w:r>
      <w:r>
        <w:rPr>
          <w:rFonts w:ascii="Cambria Math" w:hAnsi="Cambria Math"/>
          <w:i/>
          <w:vertAlign w:val="subscript"/>
        </w:rPr>
        <w:t>abs</w:t>
      </w:r>
      <w:r>
        <w:t xml:space="preserve"> is the curvature at a specific point and can be displayed in DEMView, where the threshold is chosen by the viewer. The curvature is displayed via different hues, where the original terrain surface color indicates no error (little curvature) and progressing through darker hues o</w:t>
      </w:r>
      <w:r w:rsidR="005247CB">
        <w:t>f orange, as shown in Fig. 1</w:t>
      </w:r>
      <w:r>
        <w:t>.  The colors were chosen using ColorBrewer (http://colorbrewer2.org). The numeric labels on the GUI change dynamically to indicate the current level of curvature relative to the displayed colors.</w:t>
      </w:r>
    </w:p>
    <w:p w:rsidR="00D72040" w:rsidRDefault="008E6B20">
      <w:pPr>
        <w:pStyle w:val="BodyText"/>
      </w:pPr>
      <w:r>
        <w:t xml:space="preserve">One of the strengths of the system is to be able to visualize differences between a DEM and reference data.  The user simply loads the two files and then chooses the appropriate option. To visualize elevation discrepancies between reference data and a DEM, each reference height point </w:t>
      </w:r>
      <w:r>
        <w:rPr>
          <w:rFonts w:ascii="Cambria Math" w:hAnsi="Cambria Math"/>
          <w:i/>
        </w:rPr>
        <w:t>v</w:t>
      </w:r>
      <w:r>
        <w:t xml:space="preserve"> is compared to the corresponding elevation </w:t>
      </w:r>
      <w:r>
        <w:rPr>
          <w:rFonts w:ascii="Cambria Math" w:hAnsi="Cambria Math"/>
          <w:i/>
        </w:rPr>
        <w:t>u</w:t>
      </w:r>
      <w:r>
        <w:t xml:space="preserve"> in the DEM to find the local difference error </w:t>
      </w:r>
      <w:r>
        <w:rPr>
          <w:rFonts w:ascii="Cambria Math" w:hAnsi="Cambria Math"/>
          <w:i/>
        </w:rPr>
        <w:t>d</w:t>
      </w:r>
      <w:r>
        <w:t xml:space="preserve"> at point </w:t>
      </w:r>
      <w:r>
        <w:rPr>
          <w:rFonts w:ascii="Cambria Math" w:hAnsi="Cambria Math"/>
          <w:i/>
        </w:rPr>
        <w:t>i,j</w:t>
      </w:r>
      <w:r>
        <w:t>:</w:t>
      </w:r>
    </w:p>
    <w:p w:rsidR="000D40E6" w:rsidRDefault="008D3D38">
      <w:pPr>
        <w:pStyle w:val="BodyText"/>
      </w:pPr>
      <m:oMathPara>
        <m:oMath>
          <m:sSub>
            <m:sSubPr>
              <m:ctrlPr>
                <w:rPr>
                  <w:rFonts w:ascii="Cambria Math" w:hAnsi="Cambria Math"/>
                  <w:i/>
                </w:rPr>
              </m:ctrlPr>
            </m:sSubPr>
            <m:e>
              <m:r>
                <w:rPr>
                  <w:rFonts w:ascii="Cambria Math" w:hAnsi="Cambria Math"/>
                </w:rPr>
                <m:t>d</m:t>
              </m:r>
            </m:e>
            <m:sub>
              <m:r>
                <w:rPr>
                  <w:rFonts w:ascii="Cambria Math" w:hAnsi="Cambria Math"/>
                </w:rPr>
                <m:t>i, j</m:t>
              </m:r>
            </m:sub>
          </m:sSub>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i, j</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i, j</m:t>
              </m:r>
            </m:sub>
          </m:sSub>
          <m:r>
            <w:rPr>
              <w:rFonts w:ascii="Cambria Math" w:hAnsi="Cambria Math"/>
            </w:rPr>
            <m:t>|</m:t>
          </m:r>
        </m:oMath>
      </m:oMathPara>
    </w:p>
    <w:p w:rsidR="000D40E6" w:rsidRDefault="008E6B20" w:rsidP="00D72040">
      <w:pPr>
        <w:pStyle w:val="BodyText"/>
        <w:ind w:firstLine="0"/>
      </w:pPr>
      <w:r>
        <w:t xml:space="preserve">where </w:t>
      </w:r>
      <w:r>
        <w:rPr>
          <w:rFonts w:ascii="Cambria Math" w:hAnsi="Cambria Math"/>
          <w:i/>
        </w:rPr>
        <w:t>v</w:t>
      </w:r>
      <w:r>
        <w:t xml:space="preserve"> is the elevation in the reference DEM.  Following Carrara (1997), </w:t>
      </w:r>
      <w:r>
        <w:rPr>
          <w:rFonts w:ascii="Cambria Math" w:hAnsi="Cambria Math"/>
          <w:i/>
        </w:rPr>
        <w:t xml:space="preserve">d </w:t>
      </w:r>
      <w:r>
        <w:t xml:space="preserve">should not be greater than 5% of the contour interval.  Thus, similar to the mechanism described for curvature error, colors are assigned to elevations that have </w:t>
      </w:r>
      <w:r>
        <w:rPr>
          <w:rFonts w:ascii="Cambria Math" w:hAnsi="Cambria Math"/>
          <w:i/>
        </w:rPr>
        <w:t>d</w:t>
      </w:r>
      <w:r>
        <w:t xml:space="preserve"> greater than 5%, 10%, 15%, and 20%, where the highest difference is displayed in red.  In the same way, the slope or curvature at each point of a DEM can be compared to the reference data, where the percentage indicates the relative differences.</w:t>
      </w:r>
    </w:p>
    <w:p w:rsidR="000D40E6" w:rsidRDefault="008E6B20">
      <w:pPr>
        <w:pStyle w:val="Heading2"/>
      </w:pPr>
      <w:r>
        <w:t>Height Class Frequency Visualization</w:t>
      </w:r>
    </w:p>
    <w:p w:rsidR="000D40E6" w:rsidRDefault="008E6B20">
      <w:pPr>
        <w:ind w:firstLine="288"/>
        <w:jc w:val="both"/>
      </w:pPr>
      <w:r>
        <w:t xml:space="preserve">If the source data is contours, then the DEM values within an area bounded by a contour pair should vary almost linearly, indicating an absence of artifacts such as terracing.  DEM elevations are grouped into integer intervals between two contours and then reclassified into relative elevations (Carrara, 1997).  For example, if 1200-1220 represents a contour pair, then the relative elevations, or height classes, would be 0, 1, 2, ..., 19 corresponding to the elevations of 1200, 1201, 1202, ..., 1219. The height classes are computed and the surface is displayed in the green terrain color with the absolute frequency of the relative heights shown in graduated color from green to orange.  The brighter the orange, the higher the absolute frequency of that height class, indicating that the slope is not linear between successive contours.   The actual absolute frequencies are displayed as well for graphing purposes. It must be noted that the absolute frequency is a global measure that is applied to individual points, and thus the visualization is </w:t>
      </w:r>
      <w:r>
        <w:lastRenderedPageBreak/>
        <w:t xml:space="preserve">only a guide as to where there is potential for error.  In other words, all points with the same color indicate they are in the same height class. </w:t>
      </w:r>
    </w:p>
    <w:p w:rsidR="000D40E6" w:rsidRDefault="008E6B20">
      <w:pPr>
        <w:pStyle w:val="Heading2"/>
      </w:pPr>
      <w:r>
        <w:t>Quantitative Statistics</w:t>
      </w:r>
    </w:p>
    <w:p w:rsidR="000D40E6" w:rsidRDefault="008E6B20">
      <w:pPr>
        <w:pStyle w:val="BodyText"/>
      </w:pPr>
      <w:r>
        <w:t>The user can also opt to have DEMView display various statistics.  These include total squared curvature, maximum curvature, and the count for each of the curvature error levels (which can also be shown as a graph).  If the DEM is being compared to reference data, comparison statistics are computed as well.  These include the counts for difference error levels and the RMSE.  Additional statistics will be included in future versions of the system.</w:t>
      </w:r>
    </w:p>
    <w:p w:rsidR="000D40E6" w:rsidRDefault="008E6B20">
      <w:pPr>
        <w:pStyle w:val="Heading1"/>
      </w:pPr>
      <w:r>
        <w:t>The Profile Cutter</w:t>
      </w:r>
    </w:p>
    <w:p w:rsidR="000D40E6" w:rsidRDefault="008E6B20">
      <w:pPr>
        <w:pStyle w:val="BodyText"/>
      </w:pPr>
      <w:r>
        <w:t xml:space="preserve">Whilst many systems offer visualizations that enable the viewer to observe errors in general, it is often difficult to zoom in on a small area to ascertain minute differences between a DEM and reference data.  Other systems offer a 2-D view of a profile displayed in a separate window, which completely disassociates this data from the DEM. The profile cutter is a semi-transparent planar rectangle that is orthogonal to the surface and displayed in 3-D.  The cutter enables the viewer to make a vertical “slice’ through the DEM to better see the profile at any </w:t>
      </w:r>
      <w:r>
        <w:rPr>
          <w:rFonts w:ascii="Cambria Math" w:hAnsi="Cambria Math"/>
          <w:i/>
        </w:rPr>
        <w:t>x</w:t>
      </w:r>
      <w:r>
        <w:t xml:space="preserve"> or </w:t>
      </w:r>
      <w:r>
        <w:rPr>
          <w:rFonts w:ascii="Cambria Math" w:hAnsi="Cambria Math"/>
          <w:i/>
        </w:rPr>
        <w:t>y</w:t>
      </w:r>
      <w:r>
        <w:t xml:space="preserve"> position.   The position can be changed dynamically through buttons on the GUI, including moving the profile incrementally.  Alpha blending makes the cutter semi-transparent, thus showing the profile within the context of the remaining DEM in the background.  Fig. 2a shows the profile cutter slicing through a portion of the Franconia DEM that is being compared to reference contours. The profile is shown as a continuous white line; the glyphs show where reference contours intersect with the profile.  </w:t>
      </w:r>
    </w:p>
    <w:p w:rsidR="000D40E6" w:rsidRDefault="008E6B20">
      <w:pPr>
        <w:pStyle w:val="BodyText"/>
      </w:pPr>
      <w:r>
        <w:t xml:space="preserve">In the reference data set, if there exists a valid elevation at an </w:t>
      </w:r>
      <w:r>
        <w:rPr>
          <w:rFonts w:ascii="Cambria Math" w:hAnsi="Cambria Math"/>
          <w:i/>
        </w:rPr>
        <w:t>x, y</w:t>
      </w:r>
      <w:r>
        <w:t xml:space="preserve"> position, then an optional glyph can be displayed in the profile. The glyph is a vertical line segment of constant length that has the following properties:</w:t>
      </w:r>
    </w:p>
    <w:p w:rsidR="000D40E6" w:rsidRDefault="008E6B20">
      <w:pPr>
        <w:pStyle w:val="BodyText"/>
        <w:numPr>
          <w:ilvl w:val="0"/>
          <w:numId w:val="12"/>
        </w:numPr>
      </w:pPr>
      <w:r>
        <w:t>If the primary and secondary elevations match within a user-specified threshold, then the glyph is rendered in white vertically centered at the profile.</w:t>
      </w:r>
    </w:p>
    <w:p w:rsidR="000D40E6" w:rsidRDefault="008E6B20">
      <w:pPr>
        <w:pStyle w:val="BodyText"/>
        <w:numPr>
          <w:ilvl w:val="0"/>
          <w:numId w:val="12"/>
        </w:numPr>
      </w:pPr>
      <w:r>
        <w:t>If the elevation in the DEM is above the reference elevation, then the glyph is rendered in a red hue proportional to the difference of the two elevations, where almost white indicates a slight difference and bright red indicates a large difference.  In addition, the bottom endpoint of the line segment is at the elevation contained in the reference data.</w:t>
      </w:r>
    </w:p>
    <w:p w:rsidR="000D40E6" w:rsidRDefault="008D3D38">
      <w:pPr>
        <w:pStyle w:val="BodyText"/>
        <w:numPr>
          <w:ilvl w:val="0"/>
          <w:numId w:val="12"/>
        </w:numPr>
      </w:pPr>
      <w:r>
        <w:rPr>
          <w:noProof/>
        </w:rPr>
        <w:lastRenderedPageBreak/>
        <w:pict>
          <v:shape id="_x0000_s1051" type="#_x0000_t202" style="position:absolute;left:0;text-align:left;margin-left:21.55pt;margin-top:.2pt;width:217.15pt;height:154.65pt;z-index:251659264;mso-width-relative:margin;mso-height-relative:margin" stroked="f">
            <v:textbox style="mso-next-textbox:#_x0000_s1051">
              <w:txbxContent>
                <w:p w:rsidR="00794A73" w:rsidRDefault="00794A73" w:rsidP="00794A73">
                  <w:pPr>
                    <w:keepNext/>
                  </w:pPr>
                  <w:r>
                    <w:rPr>
                      <w:rFonts w:eastAsia="Times New Roman"/>
                      <w:noProof/>
                      <w:sz w:val="16"/>
                    </w:rPr>
                    <w:drawing>
                      <wp:inline distT="0" distB="0" distL="0" distR="0">
                        <wp:extent cx="2574925" cy="1548061"/>
                        <wp:effectExtent l="19050" t="0" r="0" b="0"/>
                        <wp:docPr id="29" name="Picture 4" descr="C:\Documents and Settings\Admin_2\Desktop\Accuracy2010\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_2\Desktop\Accuracy2010\Figure2.png"/>
                                <pic:cNvPicPr>
                                  <a:picLocks noChangeAspect="1" noChangeArrowheads="1"/>
                                </pic:cNvPicPr>
                              </pic:nvPicPr>
                              <pic:blipFill>
                                <a:blip r:embed="rId8"/>
                                <a:srcRect/>
                                <a:stretch>
                                  <a:fillRect/>
                                </a:stretch>
                              </pic:blipFill>
                              <pic:spPr bwMode="auto">
                                <a:xfrm>
                                  <a:off x="0" y="0"/>
                                  <a:ext cx="2574925" cy="1548061"/>
                                </a:xfrm>
                                <a:prstGeom prst="rect">
                                  <a:avLst/>
                                </a:prstGeom>
                                <a:noFill/>
                                <a:ln w="9525">
                                  <a:noFill/>
                                  <a:miter lim="800000"/>
                                  <a:headEnd/>
                                  <a:tailEnd/>
                                </a:ln>
                              </pic:spPr>
                            </pic:pic>
                          </a:graphicData>
                        </a:graphic>
                      </wp:inline>
                    </w:drawing>
                  </w:r>
                </w:p>
                <w:p w:rsidR="00794A73" w:rsidRDefault="00794A73" w:rsidP="00794A73">
                  <w:pPr>
                    <w:keepNext/>
                  </w:pPr>
                  <w:r w:rsidRPr="00052C73">
                    <w:rPr>
                      <w:bCs/>
                      <w:sz w:val="16"/>
                      <w:szCs w:val="16"/>
                    </w:rPr>
                    <w:t xml:space="preserve">Figure 2. </w:t>
                  </w:r>
                  <w:r>
                    <w:rPr>
                      <w:bCs/>
                      <w:sz w:val="16"/>
                      <w:szCs w:val="16"/>
                    </w:rPr>
                    <w:t xml:space="preserve"> (a) </w:t>
                  </w:r>
                  <w:r w:rsidRPr="00052C73">
                    <w:rPr>
                      <w:bCs/>
                      <w:sz w:val="16"/>
                      <w:szCs w:val="16"/>
                    </w:rPr>
                    <w:t xml:space="preserve">The profile cutter slicing </w:t>
                  </w:r>
                  <w:r>
                    <w:rPr>
                      <w:bCs/>
                      <w:sz w:val="16"/>
                      <w:szCs w:val="16"/>
                    </w:rPr>
                    <w:t xml:space="preserve">the </w:t>
                  </w:r>
                  <w:r w:rsidRPr="00052C73">
                    <w:rPr>
                      <w:bCs/>
                      <w:sz w:val="16"/>
                      <w:szCs w:val="16"/>
                    </w:rPr>
                    <w:t>Franconia DEM; glyphs show accuracy levels</w:t>
                  </w:r>
                  <w:r w:rsidRPr="00052C73">
                    <w:rPr>
                      <w:b/>
                      <w:bCs/>
                      <w:color w:val="4F81BD" w:themeColor="accent1"/>
                      <w:sz w:val="18"/>
                      <w:szCs w:val="18"/>
                    </w:rPr>
                    <w:t xml:space="preserve"> </w:t>
                  </w:r>
                  <w:r w:rsidRPr="00052C73">
                    <w:rPr>
                      <w:bCs/>
                      <w:sz w:val="16"/>
                      <w:szCs w:val="16"/>
                    </w:rPr>
                    <w:t xml:space="preserve">compared to </w:t>
                  </w:r>
                  <w:r>
                    <w:rPr>
                      <w:bCs/>
                      <w:sz w:val="16"/>
                      <w:szCs w:val="16"/>
                    </w:rPr>
                    <w:t xml:space="preserve">source </w:t>
                  </w:r>
                  <w:r w:rsidRPr="00052C73">
                    <w:rPr>
                      <w:bCs/>
                      <w:sz w:val="16"/>
                      <w:szCs w:val="16"/>
                    </w:rPr>
                    <w:t>contours</w:t>
                  </w:r>
                  <w:r>
                    <w:rPr>
                      <w:bCs/>
                      <w:sz w:val="16"/>
                      <w:szCs w:val="16"/>
                    </w:rPr>
                    <w:t>. (b) Close-up view including contour visualization.</w:t>
                  </w:r>
                </w:p>
                <w:p w:rsidR="00794A73" w:rsidRPr="00F2280A" w:rsidRDefault="00794A73" w:rsidP="00794A73"/>
              </w:txbxContent>
            </v:textbox>
            <w10:wrap type="square"/>
          </v:shape>
        </w:pict>
      </w:r>
      <w:r w:rsidR="008E6B20">
        <w:t>If the elevation in the DEM is below the reference elevation, then the glyph is rendered in shades of blue, with dark blue indicating a large difference.  The endpoint at the top of the line segment is at the elevation contained in the reference data.</w:t>
      </w:r>
    </w:p>
    <w:p w:rsidR="000D40E6" w:rsidRDefault="008E6B20">
      <w:pPr>
        <w:pStyle w:val="BodyText"/>
        <w:numPr>
          <w:ilvl w:val="0"/>
          <w:numId w:val="12"/>
        </w:numPr>
      </w:pPr>
      <w:r>
        <w:t>If glyphs are turned off, the reference profile is shown as a line only, in the same hues as described above denoting the closeness of the match with the primary DEM.</w:t>
      </w:r>
    </w:p>
    <w:p w:rsidR="000D40E6" w:rsidRDefault="008E6B20">
      <w:pPr>
        <w:pStyle w:val="BodyText"/>
      </w:pPr>
      <w:r>
        <w:t xml:space="preserve">Thus, the glyphs can show a DEM's accuracy compared to reference data at a glance.  In Fig. 2a, it is easy to observe that the DEM's accuracy compared to the reference contours is lower in the steeper sections on the right side compared to the left. Fig. 2b shows a close-up of the profile, glyphs, and the Franconia surface in the background with the contours made visible.  Visualizing such multivariate data in context is difficult to achieve in a 2-D system. </w:t>
      </w:r>
    </w:p>
    <w:p w:rsidR="000D40E6" w:rsidRDefault="008D3D38">
      <w:pPr>
        <w:pStyle w:val="Heading1"/>
      </w:pPr>
      <w:r w:rsidRPr="008D3D38">
        <w:rPr>
          <w:rFonts w:eastAsia="Times New Roman"/>
          <w:sz w:val="16"/>
        </w:rPr>
        <w:pict>
          <v:shape id="_x0000_s1057" type="#_x0000_t202" style="position:absolute;left:0;text-align:left;margin-left:.35pt;margin-top:3.8pt;width:239pt;height:206.4pt;z-index:251660288;mso-width-relative:margin;mso-height-relative:margin" stroked="f">
            <v:textbox style="mso-next-textbox:#_x0000_s1057">
              <w:txbxContent>
                <w:p w:rsidR="004162CF" w:rsidRDefault="004162CF" w:rsidP="004162CF">
                  <w:pPr>
                    <w:keepNext/>
                  </w:pPr>
                  <w:r>
                    <w:rPr>
                      <w:noProof/>
                    </w:rPr>
                    <w:drawing>
                      <wp:inline distT="0" distB="0" distL="0" distR="0">
                        <wp:extent cx="2411676" cy="2318918"/>
                        <wp:effectExtent l="19050" t="0" r="7674" b="0"/>
                        <wp:docPr id="7" name="Picture 4" descr="tucksDiff.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cksDiff.tiff"/>
                                <pic:cNvPicPr/>
                              </pic:nvPicPr>
                              <pic:blipFill>
                                <a:blip r:embed="rId9"/>
                                <a:stretch>
                                  <a:fillRect/>
                                </a:stretch>
                              </pic:blipFill>
                              <pic:spPr>
                                <a:xfrm>
                                  <a:off x="0" y="0"/>
                                  <a:ext cx="2424655" cy="2331398"/>
                                </a:xfrm>
                                <a:prstGeom prst="rect">
                                  <a:avLst/>
                                </a:prstGeom>
                              </pic:spPr>
                            </pic:pic>
                          </a:graphicData>
                        </a:graphic>
                      </wp:inline>
                    </w:drawing>
                  </w:r>
                </w:p>
                <w:p w:rsidR="004162CF" w:rsidRPr="00CA6D95" w:rsidRDefault="004162CF" w:rsidP="004162CF">
                  <w:pPr>
                    <w:pStyle w:val="Caption"/>
                    <w:rPr>
                      <w:b w:val="0"/>
                      <w:color w:val="auto"/>
                      <w:sz w:val="16"/>
                      <w:szCs w:val="16"/>
                    </w:rPr>
                  </w:pPr>
                  <w:r w:rsidRPr="00CA6D95">
                    <w:rPr>
                      <w:b w:val="0"/>
                      <w:color w:val="auto"/>
                      <w:sz w:val="16"/>
                      <w:szCs w:val="16"/>
                    </w:rPr>
                    <w:t xml:space="preserve">Figure </w:t>
                  </w:r>
                  <w:r>
                    <w:rPr>
                      <w:b w:val="0"/>
                      <w:color w:val="auto"/>
                      <w:sz w:val="16"/>
                      <w:szCs w:val="16"/>
                    </w:rPr>
                    <w:t xml:space="preserve">3.  </w:t>
                  </w:r>
                  <w:r w:rsidRPr="00CA6D95">
                    <w:rPr>
                      <w:b w:val="0"/>
                      <w:color w:val="auto"/>
                      <w:sz w:val="16"/>
                      <w:szCs w:val="16"/>
                    </w:rPr>
                    <w:t>DEM of Mt. Washington, NH, showing contours and elevation differences.</w:t>
                  </w:r>
                </w:p>
              </w:txbxContent>
            </v:textbox>
            <w10:wrap type="square"/>
          </v:shape>
        </w:pict>
      </w:r>
      <w:r w:rsidR="008E6B20">
        <w:t>Case Study</w:t>
      </w:r>
    </w:p>
    <w:p w:rsidR="000D40E6" w:rsidRDefault="008E6B20" w:rsidP="008B1210">
      <w:pPr>
        <w:ind w:firstLine="216"/>
        <w:jc w:val="both"/>
      </w:pPr>
      <w:r>
        <w:t xml:space="preserve">In this section we compare two DEMs computed from the same contours using DEMView and similar tools available in LandSerf.  Fig. 3 shows an 800 </w:t>
      </w:r>
      <w:r>
        <w:rPr>
          <w:rFonts w:ascii="Cambria Math" w:hAnsi="Cambria Math"/>
        </w:rPr>
        <w:t>x</w:t>
      </w:r>
      <w:r>
        <w:t xml:space="preserve"> 800 DEM of Mt. Washington (NH), computed from contours using the ARC/INFO TOPOGRID, with the contours from the reference file turned on and curvature displayed.  A portion of the surface in the SW corner is identifiable as anomalous.  Fig. 4a shows the same DEM displayed in LandSerf, zoomed into the SW corner with curvature error turned on.  Note that there is no way to show the curvature </w:t>
      </w:r>
      <w:r>
        <w:rPr>
          <w:i/>
        </w:rPr>
        <w:t>and</w:t>
      </w:r>
      <w:r>
        <w:t xml:space="preserve"> the contours at the same time.  In both cases, the curvature coloring indicates anomalies in the bowl area.  In LandSerf, the user can find an arbitrary profile by clicking and dragging a line on the surface; a 2-D profile centered at the problematic area is shown in Fig. 4b. Once the user chooses the profile on the main window, the profile is displayed in a new window, but the main window loses all contextual information connected with the profile.  Furthermore, the scaling of the profile is such that it is difficult to identify problems with the surface.  In contrast, DEMView allows </w:t>
      </w:r>
      <w:r w:rsidR="00F82864" w:rsidRPr="00F82864">
        <w:t xml:space="preserve">  </w:t>
      </w:r>
      <w:r>
        <w:lastRenderedPageBreak/>
        <w:t>the user to view the profile in the context of the surface, as show in Fig. 5; the glyphs highlight the intersection of the contours and show how the surface significantly deviates from the reference elevations.</w:t>
      </w:r>
    </w:p>
    <w:p w:rsidR="000D40E6" w:rsidRDefault="008E6B20">
      <w:pPr>
        <w:pStyle w:val="Heading1"/>
      </w:pPr>
      <w:r>
        <w:t>Conclusions and Future Work</w:t>
      </w:r>
    </w:p>
    <w:p w:rsidR="000D40E6" w:rsidRDefault="008E6B20" w:rsidP="008B1210">
      <w:pPr>
        <w:ind w:firstLine="216"/>
        <w:jc w:val="both"/>
      </w:pPr>
      <w:r>
        <w:t>Here we have presented DEMView, a DEM and error visualization system that incorporates a “profile cutter” that can be used to view a dynamically movable 2-D profile in the context of a 3-D surface. The user can identify potential anomalous regions in the DEM, using the orthogonal slice, that may otherwise not be possible in a 3-D environment.  In particular, the profile slice allows the layering of two data sets, a DEM and a reference data file, in the same context space, giving the viewer new visualization options for comparing topographic data.   Glyphs provide data on the differences between two files at matching locations. The system, which is purpose-built for DEM error visualizations, incorporates traditional visualization tools such as viewing slope, aspect, curvature, and height class frequency.   The system can also generate visualizations to display the differences of these measurements between two data sets, as well as compute global error statistics such as RMSE.</w:t>
      </w:r>
    </w:p>
    <w:p w:rsidR="000D40E6" w:rsidRDefault="000D40E6">
      <w:pPr>
        <w:jc w:val="both"/>
      </w:pPr>
    </w:p>
    <w:p w:rsidR="000D40E6" w:rsidRDefault="008E6B20" w:rsidP="008B1210">
      <w:pPr>
        <w:ind w:firstLine="216"/>
        <w:jc w:val="both"/>
      </w:pPr>
      <w:r>
        <w:t>Future development of DEMView will see the addition of further accuracy measures and the provision of novel visualization techniques.  A particular focus will be the visualization of multiple error metrics at the same time.</w:t>
      </w:r>
    </w:p>
    <w:p w:rsidR="000D40E6" w:rsidRDefault="008E6B20">
      <w:pPr>
        <w:pStyle w:val="Heading5"/>
      </w:pPr>
      <w:r>
        <w:t>References</w:t>
      </w:r>
    </w:p>
    <w:p w:rsidR="000D40E6" w:rsidRDefault="008E6B20">
      <w:pPr>
        <w:pStyle w:val="references"/>
      </w:pPr>
      <w:r>
        <w:t xml:space="preserve">Briggs, I. (1974) Machine contouring using minimum curvature. </w:t>
      </w:r>
      <w:r>
        <w:rPr>
          <w:i/>
        </w:rPr>
        <w:t>Geophysics</w:t>
      </w:r>
      <w:r>
        <w:t>. Volume 39(1), 39–48, February 1974.</w:t>
      </w:r>
    </w:p>
    <w:p w:rsidR="000D40E6" w:rsidRDefault="008E6B20">
      <w:pPr>
        <w:pStyle w:val="references"/>
      </w:pPr>
      <w:r>
        <w:lastRenderedPageBreak/>
        <w:t xml:space="preserve">Brooks, S. and Whalley, J.L. (2005) A 2D/3D hybrid geographical    information system. In </w:t>
      </w:r>
      <w:r>
        <w:rPr>
          <w:i/>
        </w:rPr>
        <w:t>Proceedings of ACM GRAPHITE</w:t>
      </w:r>
      <w:r>
        <w:t xml:space="preserve"> (pp. 323–330). Dunedin, New Zealand.</w:t>
      </w:r>
    </w:p>
    <w:p w:rsidR="000D40E6" w:rsidRDefault="008E6B20">
      <w:pPr>
        <w:autoSpaceDE w:val="0"/>
        <w:autoSpaceDN w:val="0"/>
        <w:adjustRightInd w:val="0"/>
        <w:ind w:left="288" w:hanging="288"/>
        <w:jc w:val="both"/>
        <w:rPr>
          <w:rFonts w:eastAsia="Times New Roman"/>
        </w:rPr>
      </w:pPr>
      <w:r>
        <w:rPr>
          <w:rFonts w:eastAsia="Times New Roman"/>
          <w:sz w:val="16"/>
        </w:rPr>
        <w:t>Carlisle, B.H. (2005) Modelling the spatial distribution of DEM error.</w:t>
      </w:r>
      <w:r>
        <w:rPr>
          <w:rFonts w:eastAsia="Times New Roman"/>
          <w:i/>
          <w:sz w:val="16"/>
        </w:rPr>
        <w:t xml:space="preserve">Transactions </w:t>
      </w:r>
      <w:r>
        <w:rPr>
          <w:rFonts w:eastAsia="Times New Roman"/>
          <w:i/>
        </w:rPr>
        <w:t>in GIS</w:t>
      </w:r>
      <w:r>
        <w:rPr>
          <w:rFonts w:eastAsia="Times New Roman"/>
        </w:rPr>
        <w:t xml:space="preserve">.  </w:t>
      </w:r>
      <w:r>
        <w:rPr>
          <w:rFonts w:eastAsia="Times New Roman"/>
          <w:sz w:val="16"/>
        </w:rPr>
        <w:t>Volume 9(4),521–540</w:t>
      </w:r>
      <w:r>
        <w:rPr>
          <w:rFonts w:eastAsia="Times New Roman"/>
        </w:rPr>
        <w:t>.</w:t>
      </w:r>
    </w:p>
    <w:p w:rsidR="000D40E6" w:rsidRDefault="008D3D38">
      <w:pPr>
        <w:autoSpaceDE w:val="0"/>
        <w:autoSpaceDN w:val="0"/>
        <w:adjustRightInd w:val="0"/>
        <w:ind w:left="288" w:hanging="288"/>
        <w:jc w:val="both"/>
        <w:rPr>
          <w:rFonts w:eastAsia="Times New Roman"/>
          <w:sz w:val="16"/>
        </w:rPr>
      </w:pPr>
      <w:r w:rsidRPr="008D3D38">
        <w:rPr>
          <w:noProof/>
          <w:lang w:eastAsia="zh-TW"/>
        </w:rPr>
        <w:pict>
          <v:shape id="_x0000_s1058" type="#_x0000_t202" style="position:absolute;left:0;text-align:left;margin-left:14pt;margin-top:-426.25pt;width:218.55pt;height:116.9pt;z-index:251662336;mso-width-relative:margin;mso-height-relative:margin" stroked="f">
            <v:textbox style="mso-next-textbox:#_x0000_s1058">
              <w:txbxContent>
                <w:p w:rsidR="00EF06F5" w:rsidRDefault="00EF06F5">
                  <w:r>
                    <w:rPr>
                      <w:noProof/>
                    </w:rPr>
                    <w:drawing>
                      <wp:inline distT="0" distB="0" distL="0" distR="0">
                        <wp:extent cx="2468245" cy="1151255"/>
                        <wp:effectExtent l="19050" t="0" r="8255" b="0"/>
                        <wp:docPr id="9" name="Picture 8" descr="Fig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png"/>
                                <pic:cNvPicPr/>
                              </pic:nvPicPr>
                              <pic:blipFill>
                                <a:blip r:embed="rId10"/>
                                <a:stretch>
                                  <a:fillRect/>
                                </a:stretch>
                              </pic:blipFill>
                              <pic:spPr>
                                <a:xfrm>
                                  <a:off x="0" y="0"/>
                                  <a:ext cx="2468245" cy="1151255"/>
                                </a:xfrm>
                                <a:prstGeom prst="rect">
                                  <a:avLst/>
                                </a:prstGeom>
                              </pic:spPr>
                            </pic:pic>
                          </a:graphicData>
                        </a:graphic>
                      </wp:inline>
                    </w:drawing>
                  </w:r>
                </w:p>
                <w:p w:rsidR="00EF06F5" w:rsidRPr="00EF06F5" w:rsidRDefault="00F82864">
                  <w:pPr>
                    <w:rPr>
                      <w:sz w:val="16"/>
                      <w:szCs w:val="16"/>
                    </w:rPr>
                  </w:pPr>
                  <w:r>
                    <w:rPr>
                      <w:sz w:val="16"/>
                      <w:szCs w:val="16"/>
                    </w:rPr>
                    <w:t>Figure 4.</w:t>
                  </w:r>
                  <w:r w:rsidR="00EF06F5" w:rsidRPr="00EF06F5">
                    <w:rPr>
                      <w:sz w:val="16"/>
                      <w:szCs w:val="16"/>
                    </w:rPr>
                    <w:t xml:space="preserve"> (a) Close-up </w:t>
                  </w:r>
                  <w:r w:rsidR="008B1210">
                    <w:rPr>
                      <w:sz w:val="16"/>
                      <w:szCs w:val="16"/>
                    </w:rPr>
                    <w:t>view of problem area using LandS</w:t>
                  </w:r>
                  <w:r w:rsidR="00EF06F5" w:rsidRPr="00EF06F5">
                    <w:rPr>
                      <w:sz w:val="16"/>
                      <w:szCs w:val="16"/>
                    </w:rPr>
                    <w:t>erf. (b) Corresponding profile.</w:t>
                  </w:r>
                </w:p>
              </w:txbxContent>
            </v:textbox>
            <w10:wrap type="square"/>
          </v:shape>
        </w:pict>
      </w:r>
      <w:r w:rsidR="008E6B20">
        <w:rPr>
          <w:rFonts w:eastAsia="Times New Roman"/>
          <w:sz w:val="16"/>
        </w:rPr>
        <w:t xml:space="preserve">Carrara, A, Bitelli, G, and Carla, R. (1997) Comparison of techniques for generating digital terrain models from contour lines. </w:t>
      </w:r>
      <w:r w:rsidR="008E6B20">
        <w:rPr>
          <w:rFonts w:eastAsia="Times New Roman"/>
          <w:i/>
          <w:sz w:val="16"/>
        </w:rPr>
        <w:t>International Journal of Geographical Information Science</w:t>
      </w:r>
      <w:r w:rsidR="008E6B20">
        <w:rPr>
          <w:rFonts w:eastAsia="Times New Roman"/>
          <w:sz w:val="16"/>
        </w:rPr>
        <w:t>.  Volume 11(5), 451–473.</w:t>
      </w:r>
    </w:p>
    <w:p w:rsidR="000D40E6" w:rsidRDefault="008E6B20">
      <w:pPr>
        <w:autoSpaceDE w:val="0"/>
        <w:autoSpaceDN w:val="0"/>
        <w:adjustRightInd w:val="0"/>
        <w:ind w:left="288" w:hanging="288"/>
        <w:jc w:val="both"/>
        <w:rPr>
          <w:rFonts w:eastAsia="Times New Roman"/>
          <w:sz w:val="16"/>
        </w:rPr>
      </w:pPr>
      <w:r>
        <w:rPr>
          <w:rFonts w:eastAsia="Times New Roman"/>
          <w:sz w:val="16"/>
        </w:rPr>
        <w:t xml:space="preserve">Charleux-Demargne, J. and Puech, C. (2000) Quality assessment for drainage networks and watershed boundaries extraction from a digital elevation model (dem). In </w:t>
      </w:r>
      <w:r>
        <w:rPr>
          <w:rFonts w:eastAsia="Times New Roman"/>
          <w:i/>
          <w:sz w:val="16"/>
        </w:rPr>
        <w:t>8th ACM Symposium on GIS</w:t>
      </w:r>
      <w:r>
        <w:rPr>
          <w:rFonts w:eastAsia="Times New Roman"/>
          <w:sz w:val="16"/>
        </w:rPr>
        <w:t>. (pp. 89–94) Washington, D.C.</w:t>
      </w:r>
    </w:p>
    <w:p w:rsidR="000D40E6" w:rsidRDefault="008E6B20">
      <w:pPr>
        <w:autoSpaceDE w:val="0"/>
        <w:autoSpaceDN w:val="0"/>
        <w:adjustRightInd w:val="0"/>
        <w:ind w:left="288" w:hanging="288"/>
        <w:jc w:val="both"/>
        <w:rPr>
          <w:rFonts w:eastAsia="Times New Roman"/>
          <w:sz w:val="16"/>
        </w:rPr>
      </w:pPr>
      <w:r>
        <w:rPr>
          <w:rFonts w:eastAsia="Times New Roman"/>
          <w:sz w:val="16"/>
        </w:rPr>
        <w:t xml:space="preserve">Dollner, J., Baumann, K., and Hinrichs, K. (2000) Texturing techniques for terrain visualization. In </w:t>
      </w:r>
      <w:r>
        <w:rPr>
          <w:rFonts w:eastAsia="Times New Roman"/>
          <w:i/>
          <w:sz w:val="16"/>
        </w:rPr>
        <w:t>Proceedings of the 11th IEEE Visualization Conference</w:t>
      </w:r>
      <w:r>
        <w:rPr>
          <w:rFonts w:eastAsia="Times New Roman"/>
          <w:sz w:val="16"/>
        </w:rPr>
        <w:t xml:space="preserve"> </w:t>
      </w:r>
      <w:r>
        <w:rPr>
          <w:rFonts w:eastAsia="Times New Roman"/>
          <w:i/>
          <w:sz w:val="16"/>
        </w:rPr>
        <w:t>(VIS 2000)</w:t>
      </w:r>
      <w:r>
        <w:rPr>
          <w:rFonts w:eastAsia="Times New Roman"/>
          <w:sz w:val="16"/>
        </w:rPr>
        <w:t xml:space="preserve"> (pp. 227–234).</w:t>
      </w:r>
    </w:p>
    <w:p w:rsidR="000D40E6" w:rsidRDefault="008E6B20">
      <w:pPr>
        <w:autoSpaceDE w:val="0"/>
        <w:autoSpaceDN w:val="0"/>
        <w:adjustRightInd w:val="0"/>
        <w:ind w:left="288" w:hanging="288"/>
        <w:jc w:val="both"/>
        <w:rPr>
          <w:rFonts w:eastAsia="Times New Roman"/>
          <w:sz w:val="16"/>
        </w:rPr>
      </w:pPr>
      <w:r>
        <w:rPr>
          <w:rFonts w:eastAsia="Times New Roman"/>
          <w:sz w:val="16"/>
        </w:rPr>
        <w:t xml:space="preserve">Fisher, P. (1998) Improved modeling of elevation error with geostatistics. </w:t>
      </w:r>
      <w:r>
        <w:rPr>
          <w:rFonts w:eastAsia="Times New Roman"/>
          <w:i/>
          <w:sz w:val="16"/>
        </w:rPr>
        <w:t>GeoInformatica</w:t>
      </w:r>
      <w:r>
        <w:rPr>
          <w:rFonts w:eastAsia="Times New Roman"/>
          <w:sz w:val="16"/>
        </w:rPr>
        <w:t>.  Volume 2(3), 215–233.</w:t>
      </w:r>
    </w:p>
    <w:p w:rsidR="000D40E6" w:rsidRDefault="008D3D38">
      <w:pPr>
        <w:autoSpaceDE w:val="0"/>
        <w:autoSpaceDN w:val="0"/>
        <w:adjustRightInd w:val="0"/>
        <w:ind w:left="288" w:hanging="288"/>
        <w:jc w:val="both"/>
        <w:rPr>
          <w:rFonts w:eastAsia="Times New Roman"/>
          <w:sz w:val="16"/>
        </w:rPr>
      </w:pPr>
      <w:r>
        <w:rPr>
          <w:rFonts w:eastAsia="Times New Roman"/>
          <w:noProof/>
          <w:sz w:val="16"/>
        </w:rPr>
        <w:pict>
          <v:shape id="_x0000_s1059" type="#_x0000_t202" style="position:absolute;left:0;text-align:left;margin-left:-260.6pt;margin-top:151.75pt;width:208.75pt;height:160.7pt;z-index:251663360;mso-width-percent:400;mso-width-percent:400;mso-width-relative:margin;mso-height-relative:margin" stroked="f">
            <v:textbox style="mso-next-textbox:#_x0000_s1059">
              <w:txbxContent>
                <w:p w:rsidR="00F82864" w:rsidRDefault="00F82864" w:rsidP="00F82864">
                  <w:pPr>
                    <w:keepNext/>
                  </w:pPr>
                  <w:r>
                    <w:rPr>
                      <w:noProof/>
                    </w:rPr>
                    <w:drawing>
                      <wp:inline distT="0" distB="0" distL="0" distR="0">
                        <wp:extent cx="1787836" cy="1719072"/>
                        <wp:effectExtent l="19050" t="0" r="2864" b="0"/>
                        <wp:docPr id="17" name="Picture 7" descr="tucksProfile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cksProfile1.tiff"/>
                                <pic:cNvPicPr/>
                              </pic:nvPicPr>
                              <pic:blipFill>
                                <a:blip r:embed="rId11"/>
                                <a:stretch>
                                  <a:fillRect/>
                                </a:stretch>
                              </pic:blipFill>
                              <pic:spPr>
                                <a:xfrm>
                                  <a:off x="0" y="0"/>
                                  <a:ext cx="1795733" cy="1726665"/>
                                </a:xfrm>
                                <a:prstGeom prst="rect">
                                  <a:avLst/>
                                </a:prstGeom>
                              </pic:spPr>
                            </pic:pic>
                          </a:graphicData>
                        </a:graphic>
                      </wp:inline>
                    </w:drawing>
                  </w:r>
                </w:p>
                <w:p w:rsidR="00F82864" w:rsidRPr="001F1960" w:rsidRDefault="00F82864" w:rsidP="00F82864">
                  <w:pPr>
                    <w:keepNext/>
                    <w:rPr>
                      <w:sz w:val="16"/>
                      <w:szCs w:val="16"/>
                    </w:rPr>
                  </w:pPr>
                  <w:r>
                    <w:rPr>
                      <w:bCs/>
                      <w:sz w:val="16"/>
                      <w:szCs w:val="16"/>
                    </w:rPr>
                    <w:t>Figure 5.</w:t>
                  </w:r>
                  <w:r w:rsidRPr="001F1960">
                    <w:rPr>
                      <w:bCs/>
                      <w:sz w:val="16"/>
                      <w:szCs w:val="16"/>
                    </w:rPr>
                    <w:t xml:space="preserve">  Profile comparison of TOPOGRID DEM with reference DEM.</w:t>
                  </w:r>
                </w:p>
                <w:p w:rsidR="00F82864" w:rsidRDefault="00F82864" w:rsidP="00F82864"/>
              </w:txbxContent>
            </v:textbox>
            <w10:wrap type="square"/>
          </v:shape>
        </w:pict>
      </w:r>
      <w:r w:rsidR="008E6B20">
        <w:rPr>
          <w:rFonts w:eastAsia="Times New Roman"/>
          <w:sz w:val="16"/>
        </w:rPr>
        <w:t xml:space="preserve">Fisher, P.F. and Tate, N.J. (2006) Causes and consequences of error in digital elevation models. </w:t>
      </w:r>
      <w:r w:rsidR="008E6B20">
        <w:rPr>
          <w:rFonts w:eastAsia="Times New Roman"/>
          <w:i/>
          <w:sz w:val="16"/>
        </w:rPr>
        <w:t>Progress in Physical Geography</w:t>
      </w:r>
      <w:r w:rsidR="008E6B20">
        <w:rPr>
          <w:rFonts w:eastAsia="Times New Roman"/>
          <w:sz w:val="16"/>
        </w:rPr>
        <w:t>.  Volume 30(4), 467–489.</w:t>
      </w:r>
    </w:p>
    <w:p w:rsidR="000D40E6" w:rsidRDefault="008E6B20">
      <w:pPr>
        <w:autoSpaceDE w:val="0"/>
        <w:autoSpaceDN w:val="0"/>
        <w:adjustRightInd w:val="0"/>
        <w:ind w:left="288" w:hanging="288"/>
        <w:jc w:val="both"/>
        <w:rPr>
          <w:rFonts w:eastAsia="Times New Roman"/>
          <w:sz w:val="16"/>
        </w:rPr>
      </w:pPr>
      <w:r>
        <w:rPr>
          <w:rFonts w:eastAsia="Times New Roman"/>
          <w:sz w:val="16"/>
        </w:rPr>
        <w:t xml:space="preserve">Gousie, M.B. and Franklin, W.R. (2005) Augmenting grid-based contours to improve thin plate DEM generation. </w:t>
      </w:r>
      <w:r>
        <w:rPr>
          <w:rFonts w:eastAsia="Times New Roman"/>
          <w:i/>
          <w:sz w:val="16"/>
        </w:rPr>
        <w:t>Photogrammetric Engineering &amp; Remote Sensing</w:t>
      </w:r>
      <w:r>
        <w:rPr>
          <w:rFonts w:eastAsia="Times New Roman"/>
          <w:sz w:val="16"/>
        </w:rPr>
        <w:t>. Volume 71(1),69–79.</w:t>
      </w:r>
    </w:p>
    <w:p w:rsidR="000D40E6" w:rsidRDefault="008E6B20">
      <w:pPr>
        <w:autoSpaceDE w:val="0"/>
        <w:autoSpaceDN w:val="0"/>
        <w:adjustRightInd w:val="0"/>
        <w:ind w:left="288" w:hanging="288"/>
        <w:jc w:val="both"/>
        <w:rPr>
          <w:rFonts w:eastAsia="Times New Roman"/>
          <w:sz w:val="16"/>
        </w:rPr>
      </w:pPr>
      <w:r>
        <w:rPr>
          <w:rFonts w:eastAsia="Times New Roman"/>
          <w:sz w:val="16"/>
        </w:rPr>
        <w:t xml:space="preserve">Healey, C.G. and Snoeyink, J.(2006) Vistre: A visualization tool to evaluate errors in terrain representation. In </w:t>
      </w:r>
      <w:r>
        <w:rPr>
          <w:rFonts w:eastAsia="Times New Roman"/>
          <w:i/>
          <w:sz w:val="16"/>
        </w:rPr>
        <w:t>Proceedings, 3rd International Symposiumon 3D Data Processing, Visualization and Transmission (3DPVT 2006</w:t>
      </w:r>
      <w:r>
        <w:rPr>
          <w:rFonts w:eastAsia="Times New Roman"/>
          <w:sz w:val="16"/>
        </w:rPr>
        <w:t>). Chapel Hill, North Carolina.</w:t>
      </w:r>
    </w:p>
    <w:p w:rsidR="000D40E6" w:rsidRDefault="008E6B20">
      <w:pPr>
        <w:autoSpaceDE w:val="0"/>
        <w:autoSpaceDN w:val="0"/>
        <w:adjustRightInd w:val="0"/>
        <w:ind w:left="288" w:hanging="288"/>
        <w:jc w:val="both"/>
        <w:rPr>
          <w:rFonts w:eastAsia="Times New Roman"/>
          <w:sz w:val="16"/>
        </w:rPr>
      </w:pPr>
      <w:r>
        <w:rPr>
          <w:rFonts w:eastAsia="Times New Roman"/>
          <w:sz w:val="16"/>
        </w:rPr>
        <w:t xml:space="preserve">Johnson, C.R. and Sanderson, A.R. (2003) A next step: Visualizing errors and uncertainty. </w:t>
      </w:r>
      <w:r>
        <w:rPr>
          <w:rFonts w:eastAsia="Times New Roman"/>
          <w:i/>
          <w:sz w:val="16"/>
        </w:rPr>
        <w:t>IEEE Computer Graphics &amp; Applications</w:t>
      </w:r>
      <w:r>
        <w:rPr>
          <w:rFonts w:eastAsia="Times New Roman"/>
          <w:sz w:val="16"/>
        </w:rPr>
        <w:t>.  Volume 23(5), 6–10.</w:t>
      </w:r>
    </w:p>
    <w:p w:rsidR="000D40E6" w:rsidRDefault="008E6B20">
      <w:pPr>
        <w:autoSpaceDE w:val="0"/>
        <w:autoSpaceDN w:val="0"/>
        <w:adjustRightInd w:val="0"/>
        <w:ind w:left="288" w:hanging="288"/>
        <w:jc w:val="both"/>
        <w:rPr>
          <w:rFonts w:eastAsia="Times New Roman"/>
          <w:sz w:val="16"/>
        </w:rPr>
      </w:pPr>
      <w:r>
        <w:rPr>
          <w:rFonts w:eastAsia="Times New Roman"/>
          <w:sz w:val="16"/>
        </w:rPr>
        <w:t xml:space="preserve">MacEachren, A.M., Robinson, A., Hopper, S., Gardner, S., Murray, R., Gahegan, M., and Hetzler, E. (2005) Visualizing geospatial information uncertainty: What we know and what we need to know.  </w:t>
      </w:r>
      <w:r>
        <w:rPr>
          <w:rFonts w:eastAsia="Times New Roman"/>
          <w:i/>
          <w:sz w:val="16"/>
        </w:rPr>
        <w:t>Cartography and Geographic Information Science</w:t>
      </w:r>
      <w:r>
        <w:rPr>
          <w:rFonts w:eastAsia="Times New Roman"/>
          <w:sz w:val="16"/>
        </w:rPr>
        <w:t>.  Volume 32 (3), 139-169.</w:t>
      </w:r>
    </w:p>
    <w:p w:rsidR="000D40E6" w:rsidRDefault="008E6B20">
      <w:pPr>
        <w:autoSpaceDE w:val="0"/>
        <w:autoSpaceDN w:val="0"/>
        <w:adjustRightInd w:val="0"/>
        <w:ind w:left="288" w:hanging="288"/>
        <w:jc w:val="both"/>
        <w:rPr>
          <w:rFonts w:eastAsia="Times New Roman"/>
          <w:sz w:val="16"/>
        </w:rPr>
      </w:pPr>
      <w:r>
        <w:rPr>
          <w:rFonts w:eastAsia="Times New Roman"/>
          <w:sz w:val="16"/>
        </w:rPr>
        <w:t xml:space="preserve">Oksanen, J. and Sarjakoski, T. (2006) Uncovering the statistical and spatial characteristics of fine toposcale DEM error.  </w:t>
      </w:r>
      <w:r>
        <w:rPr>
          <w:rFonts w:eastAsia="Times New Roman"/>
          <w:i/>
          <w:sz w:val="16"/>
        </w:rPr>
        <w:t>International Journal of Geographical Information Science</w:t>
      </w:r>
      <w:r>
        <w:rPr>
          <w:rFonts w:eastAsia="Times New Roman"/>
          <w:sz w:val="16"/>
        </w:rPr>
        <w:t>.  Volume 20(4), 345-369.</w:t>
      </w:r>
    </w:p>
    <w:p w:rsidR="000D40E6" w:rsidRDefault="008E6B20">
      <w:pPr>
        <w:autoSpaceDE w:val="0"/>
        <w:autoSpaceDN w:val="0"/>
        <w:adjustRightInd w:val="0"/>
        <w:ind w:left="288" w:hanging="288"/>
        <w:jc w:val="both"/>
        <w:rPr>
          <w:rFonts w:eastAsia="Times New Roman"/>
          <w:sz w:val="16"/>
        </w:rPr>
      </w:pPr>
      <w:r>
        <w:rPr>
          <w:rFonts w:eastAsia="Times New Roman"/>
          <w:sz w:val="16"/>
        </w:rPr>
        <w:t xml:space="preserve">Pang, A. T., Wittenbrink, C.M., and Lodha, S. K. (1996)  Approaches to uncertainty visualization.  </w:t>
      </w:r>
      <w:r>
        <w:rPr>
          <w:rFonts w:eastAsia="Times New Roman"/>
          <w:i/>
          <w:sz w:val="16"/>
        </w:rPr>
        <w:t>The Visual Computer</w:t>
      </w:r>
      <w:r>
        <w:rPr>
          <w:rFonts w:eastAsia="Times New Roman"/>
          <w:sz w:val="16"/>
        </w:rPr>
        <w:t>.  Volume 13(8), 370-390.</w:t>
      </w:r>
      <w:r w:rsidR="00046E83" w:rsidRPr="00046E83">
        <w:rPr>
          <w:noProof/>
        </w:rPr>
        <w:t xml:space="preserve"> </w:t>
      </w:r>
    </w:p>
    <w:p w:rsidR="000D40E6" w:rsidRDefault="008E6B20">
      <w:pPr>
        <w:autoSpaceDE w:val="0"/>
        <w:autoSpaceDN w:val="0"/>
        <w:adjustRightInd w:val="0"/>
        <w:ind w:left="288" w:hanging="288"/>
        <w:jc w:val="both"/>
        <w:rPr>
          <w:rFonts w:eastAsia="Times New Roman"/>
          <w:sz w:val="16"/>
        </w:rPr>
      </w:pPr>
      <w:r>
        <w:rPr>
          <w:rFonts w:eastAsia="Times New Roman"/>
          <w:sz w:val="16"/>
        </w:rPr>
        <w:t xml:space="preserve">Raper, J., Dykes, J. Wood, J., Mountain, D., Krause, A., and Rhind, D. (2002) A framework for evaluating geographical information. </w:t>
      </w:r>
      <w:r>
        <w:rPr>
          <w:rFonts w:eastAsia="Times New Roman"/>
          <w:i/>
          <w:sz w:val="16"/>
        </w:rPr>
        <w:t>Journal of Information Science</w:t>
      </w:r>
      <w:r>
        <w:rPr>
          <w:rFonts w:eastAsia="Times New Roman"/>
          <w:sz w:val="16"/>
        </w:rPr>
        <w:t>.  Volume 28(1), 51–62.</w:t>
      </w:r>
    </w:p>
    <w:p w:rsidR="000D40E6" w:rsidRDefault="008E6B20">
      <w:pPr>
        <w:autoSpaceDE w:val="0"/>
        <w:autoSpaceDN w:val="0"/>
        <w:adjustRightInd w:val="0"/>
        <w:ind w:left="288" w:hanging="288"/>
        <w:jc w:val="both"/>
        <w:rPr>
          <w:rFonts w:eastAsia="Times New Roman"/>
          <w:sz w:val="16"/>
        </w:rPr>
      </w:pPr>
      <w:r>
        <w:rPr>
          <w:rFonts w:eastAsia="Times New Roman"/>
          <w:sz w:val="16"/>
        </w:rPr>
        <w:t xml:space="preserve">Reichenbach, P., Pike, R.J., Acevedo, W., and Mark, R.K. (1993) A new landform map of Italy in computer-shaded relief.  </w:t>
      </w:r>
      <w:r>
        <w:rPr>
          <w:rFonts w:eastAsia="Times New Roman"/>
          <w:i/>
          <w:sz w:val="16"/>
        </w:rPr>
        <w:t>Bollettino Geodesia a Scienze Affini</w:t>
      </w:r>
      <w:r>
        <w:rPr>
          <w:rFonts w:eastAsia="Times New Roman"/>
          <w:sz w:val="16"/>
        </w:rPr>
        <w:t>.  Volume 52, 22-44.</w:t>
      </w:r>
    </w:p>
    <w:p w:rsidR="000D40E6" w:rsidRDefault="008E6B20">
      <w:pPr>
        <w:autoSpaceDE w:val="0"/>
        <w:autoSpaceDN w:val="0"/>
        <w:adjustRightInd w:val="0"/>
        <w:ind w:left="288" w:hanging="288"/>
        <w:jc w:val="both"/>
        <w:rPr>
          <w:rFonts w:eastAsia="Times New Roman"/>
          <w:sz w:val="16"/>
        </w:rPr>
      </w:pPr>
      <w:r>
        <w:rPr>
          <w:rFonts w:eastAsia="Times New Roman"/>
          <w:sz w:val="16"/>
        </w:rPr>
        <w:t>Rinehart, R.E. and Coleman, E.J. (1988)</w:t>
      </w:r>
      <w:r>
        <w:t xml:space="preserve"> </w:t>
      </w:r>
      <w:r>
        <w:rPr>
          <w:rFonts w:eastAsia="Times New Roman"/>
          <w:sz w:val="16"/>
        </w:rPr>
        <w:t xml:space="preserve">Digital elevation models produced from digital line graphs. In </w:t>
      </w:r>
      <w:r>
        <w:rPr>
          <w:rFonts w:eastAsia="Times New Roman"/>
          <w:i/>
          <w:sz w:val="16"/>
        </w:rPr>
        <w:t>Proceedings of the ACSM-ASPRS Annual</w:t>
      </w:r>
      <w:r>
        <w:rPr>
          <w:rFonts w:eastAsia="Times New Roman"/>
          <w:sz w:val="16"/>
        </w:rPr>
        <w:t xml:space="preserve"> </w:t>
      </w:r>
      <w:r>
        <w:rPr>
          <w:rFonts w:eastAsia="Times New Roman"/>
          <w:i/>
          <w:sz w:val="16"/>
        </w:rPr>
        <w:t>Convention</w:t>
      </w:r>
      <w:r>
        <w:rPr>
          <w:rFonts w:eastAsia="Times New Roman"/>
          <w:sz w:val="16"/>
        </w:rPr>
        <w:t>.  Volume 2, 291–299. American Congress on Surveying and Mapping, American Society for Photogrammetry and Remote Sensing.</w:t>
      </w:r>
    </w:p>
    <w:p w:rsidR="000D40E6" w:rsidRDefault="008E6B20">
      <w:pPr>
        <w:autoSpaceDE w:val="0"/>
        <w:autoSpaceDN w:val="0"/>
        <w:adjustRightInd w:val="0"/>
        <w:ind w:left="288" w:hanging="288"/>
        <w:jc w:val="both"/>
        <w:rPr>
          <w:rFonts w:eastAsia="Times New Roman"/>
          <w:sz w:val="16"/>
        </w:rPr>
      </w:pPr>
      <w:r>
        <w:rPr>
          <w:rFonts w:eastAsia="Times New Roman"/>
          <w:sz w:val="16"/>
        </w:rPr>
        <w:t>Rishe,</w:t>
      </w:r>
      <w:r>
        <w:t xml:space="preserve"> </w:t>
      </w:r>
      <w:r>
        <w:rPr>
          <w:rFonts w:eastAsia="Times New Roman"/>
          <w:sz w:val="16"/>
        </w:rPr>
        <w:t>N., Sun, Y., Chekmasov, M., Andriy, S., and Graham, S. (2004) System architecture for 3d terrafly online gis. In</w:t>
      </w:r>
      <w:r>
        <w:rPr>
          <w:rFonts w:eastAsia="Times New Roman"/>
          <w:i/>
          <w:sz w:val="16"/>
        </w:rPr>
        <w:t xml:space="preserve"> Proceedings of the IEEE Sixth International Symposium onMultimedia Software Engineering (MSE2004)</w:t>
      </w:r>
      <w:r>
        <w:rPr>
          <w:rFonts w:eastAsia="Times New Roman"/>
          <w:sz w:val="16"/>
        </w:rPr>
        <w:t>, (pp. 273–276).</w:t>
      </w:r>
    </w:p>
    <w:p w:rsidR="000D40E6" w:rsidRDefault="008E6B20">
      <w:pPr>
        <w:autoSpaceDE w:val="0"/>
        <w:autoSpaceDN w:val="0"/>
        <w:adjustRightInd w:val="0"/>
        <w:ind w:left="288" w:hanging="288"/>
        <w:jc w:val="both"/>
        <w:rPr>
          <w:rFonts w:eastAsia="Times New Roman"/>
          <w:sz w:val="16"/>
        </w:rPr>
      </w:pPr>
      <w:r>
        <w:rPr>
          <w:rFonts w:eastAsia="Times New Roman"/>
          <w:sz w:val="16"/>
        </w:rPr>
        <w:t xml:space="preserve">Ware, C., Plumlee, R., Arsenault, R., Mayer, L.A., and Smith, S. (2001) Geozui3d: Data fusion for interpreting oceanographic data. In </w:t>
      </w:r>
      <w:r>
        <w:rPr>
          <w:rFonts w:eastAsia="Times New Roman"/>
          <w:i/>
          <w:sz w:val="16"/>
        </w:rPr>
        <w:t xml:space="preserve">Proceedings of the MTS/IEEE Conference and Exhibition(OCEANS 2001).  </w:t>
      </w:r>
      <w:r>
        <w:rPr>
          <w:rFonts w:eastAsia="Times New Roman"/>
          <w:sz w:val="16"/>
        </w:rPr>
        <w:t>Volume 3 (pp. 1960–1964).</w:t>
      </w:r>
    </w:p>
    <w:p w:rsidR="000D40E6" w:rsidRDefault="008E6B20">
      <w:pPr>
        <w:autoSpaceDE w:val="0"/>
        <w:autoSpaceDN w:val="0"/>
        <w:adjustRightInd w:val="0"/>
        <w:ind w:left="288" w:hanging="288"/>
        <w:jc w:val="both"/>
        <w:rPr>
          <w:rFonts w:eastAsia="Times New Roman"/>
          <w:sz w:val="16"/>
        </w:rPr>
      </w:pPr>
      <w:r>
        <w:rPr>
          <w:rFonts w:eastAsia="Times New Roman"/>
          <w:sz w:val="16"/>
        </w:rPr>
        <w:t>Wiggenhagen, M. (2000)  Development of real-time visualization tools for the quality control of digital terrain models and orthoimages.  In International Archives of Photogrammetry and Remote Sensing (IAPRS).  Volume 33 (pp. 987-993).  Amsterdam.</w:t>
      </w:r>
    </w:p>
    <w:p w:rsidR="000D40E6" w:rsidRDefault="008E6B20">
      <w:pPr>
        <w:autoSpaceDE w:val="0"/>
        <w:autoSpaceDN w:val="0"/>
        <w:adjustRightInd w:val="0"/>
        <w:ind w:left="288" w:hanging="288"/>
        <w:jc w:val="both"/>
        <w:rPr>
          <w:rFonts w:eastAsia="Times New Roman"/>
          <w:sz w:val="16"/>
        </w:rPr>
      </w:pPr>
      <w:r>
        <w:rPr>
          <w:rFonts w:eastAsia="Times New Roman"/>
          <w:sz w:val="16"/>
        </w:rPr>
        <w:t>Wood, J.D. (1996)  The Geomorphological Characterisation of Digital Elevation Models.  PhD thesis, University of Leicester, UK.</w:t>
      </w:r>
    </w:p>
    <w:p w:rsidR="000D40E6" w:rsidRDefault="008E6B20">
      <w:pPr>
        <w:autoSpaceDE w:val="0"/>
        <w:autoSpaceDN w:val="0"/>
        <w:adjustRightInd w:val="0"/>
        <w:ind w:left="288" w:hanging="288"/>
        <w:jc w:val="both"/>
        <w:rPr>
          <w:rFonts w:eastAsia="Times New Roman"/>
          <w:sz w:val="16"/>
        </w:rPr>
      </w:pPr>
      <w:r>
        <w:rPr>
          <w:rFonts w:eastAsia="Times New Roman"/>
          <w:sz w:val="16"/>
        </w:rPr>
        <w:t xml:space="preserve">Wood, J.D. and Fisher, P.F. (1993)  Assessing interpolation accuracy in digital elevation models.  </w:t>
      </w:r>
      <w:r>
        <w:rPr>
          <w:rFonts w:eastAsia="Times New Roman"/>
          <w:i/>
          <w:sz w:val="16"/>
        </w:rPr>
        <w:t>IEEE Computer Graphics and Applications</w:t>
      </w:r>
      <w:r>
        <w:rPr>
          <w:rFonts w:eastAsia="Times New Roman"/>
          <w:sz w:val="16"/>
        </w:rPr>
        <w:t>.  Volume 13 (2), 48-56.</w:t>
      </w:r>
    </w:p>
    <w:p w:rsidR="00046E83" w:rsidRDefault="00046E83" w:rsidP="00F82864">
      <w:pPr>
        <w:autoSpaceDE w:val="0"/>
        <w:autoSpaceDN w:val="0"/>
        <w:adjustRightInd w:val="0"/>
        <w:jc w:val="both"/>
        <w:rPr>
          <w:rFonts w:eastAsia="Times New Roman"/>
          <w:sz w:val="16"/>
        </w:rPr>
      </w:pPr>
    </w:p>
    <w:sectPr w:rsidR="00046E83" w:rsidSect="000D40E6">
      <w:type w:val="continuous"/>
      <w:pgSz w:w="11909" w:h="16834" w:code="9"/>
      <w:pgMar w:top="1080" w:right="734" w:bottom="2434" w:left="734"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3F6C" w:rsidRDefault="00E03F6C">
      <w:r>
        <w:separator/>
      </w:r>
    </w:p>
  </w:endnote>
  <w:endnote w:type="continuationSeparator" w:id="0">
    <w:p w:rsidR="00E03F6C" w:rsidRDefault="00E03F6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3F6C" w:rsidRDefault="00E03F6C">
      <w:r>
        <w:separator/>
      </w:r>
    </w:p>
  </w:footnote>
  <w:footnote w:type="continuationSeparator" w:id="0">
    <w:p w:rsidR="00E03F6C" w:rsidRDefault="00E03F6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AF0333"/>
    <w:multiLevelType w:val="hybridMultilevel"/>
    <w:tmpl w:val="CB0E7F4E"/>
    <w:lvl w:ilvl="0" w:tplc="6C6CECB4">
      <w:start w:val="1"/>
      <w:numFmt w:val="lowerLetter"/>
      <w:lvlText w:val="%1."/>
      <w:lvlJc w:val="left"/>
      <w:pPr>
        <w:tabs>
          <w:tab w:val="num" w:pos="720"/>
        </w:tabs>
        <w:ind w:left="720" w:hanging="360"/>
      </w:pPr>
      <w:rPr>
        <w:rFonts w:hint="default"/>
        <w:i w:val="0"/>
      </w:rPr>
    </w:lvl>
    <w:lvl w:ilvl="1" w:tplc="6E80B00E">
      <w:start w:val="1"/>
      <w:numFmt w:val="lowerLetter"/>
      <w:lvlText w:val="%2."/>
      <w:lvlJc w:val="left"/>
      <w:pPr>
        <w:tabs>
          <w:tab w:val="num" w:pos="1440"/>
        </w:tabs>
        <w:ind w:left="1440" w:hanging="360"/>
      </w:pPr>
    </w:lvl>
    <w:lvl w:ilvl="2" w:tplc="76D43336">
      <w:start w:val="1"/>
      <w:numFmt w:val="lowerRoman"/>
      <w:lvlText w:val="%3."/>
      <w:lvlJc w:val="right"/>
      <w:pPr>
        <w:tabs>
          <w:tab w:val="num" w:pos="2160"/>
        </w:tabs>
        <w:ind w:left="2160" w:hanging="180"/>
      </w:pPr>
    </w:lvl>
    <w:lvl w:ilvl="3" w:tplc="F5205F3A">
      <w:start w:val="1"/>
      <w:numFmt w:val="decimal"/>
      <w:lvlText w:val="%4."/>
      <w:lvlJc w:val="left"/>
      <w:pPr>
        <w:tabs>
          <w:tab w:val="num" w:pos="2880"/>
        </w:tabs>
        <w:ind w:left="2880" w:hanging="360"/>
      </w:pPr>
    </w:lvl>
    <w:lvl w:ilvl="4" w:tplc="C868BD6E">
      <w:start w:val="1"/>
      <w:numFmt w:val="lowerLetter"/>
      <w:lvlText w:val="%5."/>
      <w:lvlJc w:val="left"/>
      <w:pPr>
        <w:tabs>
          <w:tab w:val="num" w:pos="3600"/>
        </w:tabs>
        <w:ind w:left="3600" w:hanging="360"/>
      </w:pPr>
    </w:lvl>
    <w:lvl w:ilvl="5" w:tplc="94D07F54">
      <w:start w:val="1"/>
      <w:numFmt w:val="lowerRoman"/>
      <w:lvlText w:val="%6."/>
      <w:lvlJc w:val="right"/>
      <w:pPr>
        <w:tabs>
          <w:tab w:val="num" w:pos="4320"/>
        </w:tabs>
        <w:ind w:left="4320" w:hanging="180"/>
      </w:pPr>
    </w:lvl>
    <w:lvl w:ilvl="6" w:tplc="18EC76D4">
      <w:start w:val="1"/>
      <w:numFmt w:val="decimal"/>
      <w:lvlText w:val="%7."/>
      <w:lvlJc w:val="left"/>
      <w:pPr>
        <w:tabs>
          <w:tab w:val="num" w:pos="5040"/>
        </w:tabs>
        <w:ind w:left="5040" w:hanging="360"/>
      </w:pPr>
    </w:lvl>
    <w:lvl w:ilvl="7" w:tplc="03F646FE">
      <w:start w:val="1"/>
      <w:numFmt w:val="lowerLetter"/>
      <w:lvlText w:val="%8."/>
      <w:lvlJc w:val="left"/>
      <w:pPr>
        <w:tabs>
          <w:tab w:val="num" w:pos="5760"/>
        </w:tabs>
        <w:ind w:left="5760" w:hanging="360"/>
      </w:pPr>
    </w:lvl>
    <w:lvl w:ilvl="8" w:tplc="E362D540">
      <w:start w:val="1"/>
      <w:numFmt w:val="lowerRoman"/>
      <w:lvlText w:val="%9."/>
      <w:lvlJc w:val="right"/>
      <w:pPr>
        <w:tabs>
          <w:tab w:val="num" w:pos="6480"/>
        </w:tabs>
        <w:ind w:left="6480" w:hanging="180"/>
      </w:pPr>
    </w:lvl>
  </w:abstractNum>
  <w:abstractNum w:abstractNumId="1">
    <w:nsid w:val="26FE1FCF"/>
    <w:multiLevelType w:val="hybridMultilevel"/>
    <w:tmpl w:val="33826962"/>
    <w:lvl w:ilvl="0" w:tplc="55C0F980">
      <w:start w:val="1"/>
      <w:numFmt w:val="decimal"/>
      <w:pStyle w:val="footnote"/>
      <w:lvlText w:val="%1 "/>
      <w:lvlJc w:val="left"/>
      <w:pPr>
        <w:tabs>
          <w:tab w:val="num" w:pos="648"/>
        </w:tabs>
        <w:ind w:firstLine="288"/>
      </w:pPr>
      <w:rPr>
        <w:rFonts w:ascii="Times New Roman" w:hAnsi="Times New Roman" w:cs="Times New Roman" w:hint="default"/>
        <w:b w:val="0"/>
        <w:i w:val="0"/>
        <w:caps w:val="0"/>
        <w:strike w:val="0"/>
        <w:dstrike w:val="0"/>
        <w:outline w:val="0"/>
        <w:shadow w:val="0"/>
        <w:emboss w:val="0"/>
        <w:imprint w:val="0"/>
        <w:vanish w:val="0"/>
        <w:sz w:val="16"/>
        <w:szCs w:val="16"/>
        <w:vertAlign w:val="superscript"/>
      </w:rPr>
    </w:lvl>
    <w:lvl w:ilvl="1" w:tplc="5204C412">
      <w:start w:val="1"/>
      <w:numFmt w:val="lowerLetter"/>
      <w:lvlText w:val="%2."/>
      <w:lvlJc w:val="left"/>
      <w:pPr>
        <w:tabs>
          <w:tab w:val="num" w:pos="1440"/>
        </w:tabs>
        <w:ind w:left="1440" w:hanging="360"/>
      </w:pPr>
    </w:lvl>
    <w:lvl w:ilvl="2" w:tplc="60FC1008">
      <w:start w:val="1"/>
      <w:numFmt w:val="lowerRoman"/>
      <w:lvlText w:val="%3."/>
      <w:lvlJc w:val="right"/>
      <w:pPr>
        <w:tabs>
          <w:tab w:val="num" w:pos="2160"/>
        </w:tabs>
        <w:ind w:left="2160" w:hanging="180"/>
      </w:pPr>
    </w:lvl>
    <w:lvl w:ilvl="3" w:tplc="5FEEC9E2">
      <w:start w:val="1"/>
      <w:numFmt w:val="decimal"/>
      <w:lvlText w:val="%4."/>
      <w:lvlJc w:val="left"/>
      <w:pPr>
        <w:tabs>
          <w:tab w:val="num" w:pos="2880"/>
        </w:tabs>
        <w:ind w:left="2880" w:hanging="360"/>
      </w:pPr>
    </w:lvl>
    <w:lvl w:ilvl="4" w:tplc="7B32B3A4">
      <w:start w:val="1"/>
      <w:numFmt w:val="lowerLetter"/>
      <w:lvlText w:val="%5."/>
      <w:lvlJc w:val="left"/>
      <w:pPr>
        <w:tabs>
          <w:tab w:val="num" w:pos="3600"/>
        </w:tabs>
        <w:ind w:left="3600" w:hanging="360"/>
      </w:pPr>
    </w:lvl>
    <w:lvl w:ilvl="5" w:tplc="32241BEA">
      <w:start w:val="1"/>
      <w:numFmt w:val="lowerRoman"/>
      <w:lvlText w:val="%6."/>
      <w:lvlJc w:val="right"/>
      <w:pPr>
        <w:tabs>
          <w:tab w:val="num" w:pos="4320"/>
        </w:tabs>
        <w:ind w:left="4320" w:hanging="180"/>
      </w:pPr>
    </w:lvl>
    <w:lvl w:ilvl="6" w:tplc="28EA0408">
      <w:start w:val="1"/>
      <w:numFmt w:val="decimal"/>
      <w:lvlText w:val="%7."/>
      <w:lvlJc w:val="left"/>
      <w:pPr>
        <w:tabs>
          <w:tab w:val="num" w:pos="5040"/>
        </w:tabs>
        <w:ind w:left="5040" w:hanging="360"/>
      </w:pPr>
    </w:lvl>
    <w:lvl w:ilvl="7" w:tplc="E2E06E84">
      <w:start w:val="1"/>
      <w:numFmt w:val="lowerLetter"/>
      <w:lvlText w:val="%8."/>
      <w:lvlJc w:val="left"/>
      <w:pPr>
        <w:tabs>
          <w:tab w:val="num" w:pos="5760"/>
        </w:tabs>
        <w:ind w:left="5760" w:hanging="360"/>
      </w:pPr>
    </w:lvl>
    <w:lvl w:ilvl="8" w:tplc="47E0B2FA">
      <w:start w:val="1"/>
      <w:numFmt w:val="lowerRoman"/>
      <w:lvlText w:val="%9."/>
      <w:lvlJc w:val="right"/>
      <w:pPr>
        <w:tabs>
          <w:tab w:val="num" w:pos="6480"/>
        </w:tabs>
        <w:ind w:left="6480" w:hanging="180"/>
      </w:pPr>
    </w:lvl>
  </w:abstractNum>
  <w:abstractNum w:abstractNumId="2">
    <w:nsid w:val="37660336"/>
    <w:multiLevelType w:val="hybridMultilevel"/>
    <w:tmpl w:val="EA402BE8"/>
    <w:lvl w:ilvl="0" w:tplc="F3E89F60">
      <w:start w:val="1"/>
      <w:numFmt w:val="bullet"/>
      <w:pStyle w:val="bulletlist"/>
      <w:lvlText w:val=""/>
      <w:lvlJc w:val="left"/>
      <w:pPr>
        <w:tabs>
          <w:tab w:val="num" w:pos="648"/>
        </w:tabs>
        <w:ind w:left="648" w:hanging="360"/>
      </w:pPr>
      <w:rPr>
        <w:rFonts w:ascii="Symbol" w:hAnsi="Symbol" w:cs="Times New Roman" w:hint="default"/>
      </w:rPr>
    </w:lvl>
    <w:lvl w:ilvl="1" w:tplc="B9F21C48">
      <w:start w:val="1"/>
      <w:numFmt w:val="bullet"/>
      <w:lvlText w:val="o"/>
      <w:lvlJc w:val="left"/>
      <w:pPr>
        <w:tabs>
          <w:tab w:val="num" w:pos="1440"/>
        </w:tabs>
        <w:ind w:left="1440" w:hanging="360"/>
      </w:pPr>
      <w:rPr>
        <w:rFonts w:ascii="Courier New" w:hAnsi="Courier New" w:cs="Courier New" w:hint="default"/>
      </w:rPr>
    </w:lvl>
    <w:lvl w:ilvl="2" w:tplc="49A8FF9A">
      <w:start w:val="1"/>
      <w:numFmt w:val="bullet"/>
      <w:lvlText w:val=""/>
      <w:lvlJc w:val="left"/>
      <w:pPr>
        <w:tabs>
          <w:tab w:val="num" w:pos="2160"/>
        </w:tabs>
        <w:ind w:left="2160" w:hanging="360"/>
      </w:pPr>
      <w:rPr>
        <w:rFonts w:ascii="Wingdings" w:hAnsi="Wingdings" w:cs="Times New Roman" w:hint="default"/>
      </w:rPr>
    </w:lvl>
    <w:lvl w:ilvl="3" w:tplc="598E2B72">
      <w:start w:val="1"/>
      <w:numFmt w:val="bullet"/>
      <w:lvlText w:val=""/>
      <w:lvlJc w:val="left"/>
      <w:pPr>
        <w:tabs>
          <w:tab w:val="num" w:pos="2880"/>
        </w:tabs>
        <w:ind w:left="2880" w:hanging="360"/>
      </w:pPr>
      <w:rPr>
        <w:rFonts w:ascii="Symbol" w:hAnsi="Symbol" w:cs="Times New Roman" w:hint="default"/>
      </w:rPr>
    </w:lvl>
    <w:lvl w:ilvl="4" w:tplc="FF08882A">
      <w:start w:val="1"/>
      <w:numFmt w:val="bullet"/>
      <w:lvlText w:val="o"/>
      <w:lvlJc w:val="left"/>
      <w:pPr>
        <w:tabs>
          <w:tab w:val="num" w:pos="3600"/>
        </w:tabs>
        <w:ind w:left="3600" w:hanging="360"/>
      </w:pPr>
      <w:rPr>
        <w:rFonts w:ascii="Courier New" w:hAnsi="Courier New" w:cs="Courier New" w:hint="default"/>
      </w:rPr>
    </w:lvl>
    <w:lvl w:ilvl="5" w:tplc="5AFCE836">
      <w:start w:val="1"/>
      <w:numFmt w:val="bullet"/>
      <w:lvlText w:val=""/>
      <w:lvlJc w:val="left"/>
      <w:pPr>
        <w:tabs>
          <w:tab w:val="num" w:pos="4320"/>
        </w:tabs>
        <w:ind w:left="4320" w:hanging="360"/>
      </w:pPr>
      <w:rPr>
        <w:rFonts w:ascii="Wingdings" w:hAnsi="Wingdings" w:cs="Times New Roman" w:hint="default"/>
      </w:rPr>
    </w:lvl>
    <w:lvl w:ilvl="6" w:tplc="EBFCAF74">
      <w:start w:val="1"/>
      <w:numFmt w:val="bullet"/>
      <w:lvlText w:val=""/>
      <w:lvlJc w:val="left"/>
      <w:pPr>
        <w:tabs>
          <w:tab w:val="num" w:pos="5040"/>
        </w:tabs>
        <w:ind w:left="5040" w:hanging="360"/>
      </w:pPr>
      <w:rPr>
        <w:rFonts w:ascii="Symbol" w:hAnsi="Symbol" w:cs="Times New Roman" w:hint="default"/>
      </w:rPr>
    </w:lvl>
    <w:lvl w:ilvl="7" w:tplc="627CA550">
      <w:start w:val="1"/>
      <w:numFmt w:val="bullet"/>
      <w:lvlText w:val="o"/>
      <w:lvlJc w:val="left"/>
      <w:pPr>
        <w:tabs>
          <w:tab w:val="num" w:pos="5760"/>
        </w:tabs>
        <w:ind w:left="5760" w:hanging="360"/>
      </w:pPr>
      <w:rPr>
        <w:rFonts w:ascii="Courier New" w:hAnsi="Courier New" w:cs="Courier New" w:hint="default"/>
      </w:rPr>
    </w:lvl>
    <w:lvl w:ilvl="8" w:tplc="7CE277DA">
      <w:start w:val="1"/>
      <w:numFmt w:val="bullet"/>
      <w:lvlText w:val=""/>
      <w:lvlJc w:val="left"/>
      <w:pPr>
        <w:tabs>
          <w:tab w:val="num" w:pos="6480"/>
        </w:tabs>
        <w:ind w:left="6480" w:hanging="360"/>
      </w:pPr>
      <w:rPr>
        <w:rFonts w:ascii="Wingdings" w:hAnsi="Wingdings" w:cs="Times New Roman" w:hint="default"/>
      </w:rPr>
    </w:lvl>
  </w:abstractNum>
  <w:abstractNum w:abstractNumId="3">
    <w:nsid w:val="39E54FC6"/>
    <w:multiLevelType w:val="singleLevel"/>
    <w:tmpl w:val="5B7288D4"/>
    <w:lvl w:ilvl="0">
      <w:start w:val="14"/>
      <w:numFmt w:val="decimal"/>
      <w:lvlText w:val="%1"/>
      <w:lvlJc w:val="left"/>
      <w:pPr>
        <w:tabs>
          <w:tab w:val="num" w:pos="720"/>
        </w:tabs>
        <w:ind w:left="720" w:hanging="360"/>
      </w:pPr>
      <w:rPr>
        <w:rFonts w:hint="default"/>
      </w:rPr>
    </w:lvl>
  </w:abstractNum>
  <w:abstractNum w:abstractNumId="4">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i/>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i/>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i/>
        <w:sz w:val="20"/>
        <w:szCs w:val="20"/>
      </w:rPr>
    </w:lvl>
    <w:lvl w:ilvl="4">
      <w:start w:val="1"/>
      <w:numFmt w:val="none"/>
      <w:lvlRestart w:val="0"/>
      <w:lvlText w:val=""/>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5">
    <w:nsid w:val="440C3B2C"/>
    <w:multiLevelType w:val="hybridMultilevel"/>
    <w:tmpl w:val="59D26866"/>
    <w:lvl w:ilvl="0" w:tplc="D0C47E3E">
      <w:start w:val="1"/>
      <w:numFmt w:val="bullet"/>
      <w:lvlText w:val=""/>
      <w:lvlJc w:val="left"/>
      <w:pPr>
        <w:ind w:left="720" w:hanging="360"/>
      </w:pPr>
      <w:rPr>
        <w:rFonts w:ascii="Symbol" w:hAnsi="Symbol" w:hint="default"/>
      </w:rPr>
    </w:lvl>
    <w:lvl w:ilvl="1" w:tplc="AD0C4AF0" w:tentative="1">
      <w:start w:val="1"/>
      <w:numFmt w:val="bullet"/>
      <w:lvlText w:val="o"/>
      <w:lvlJc w:val="left"/>
      <w:pPr>
        <w:ind w:left="1440" w:hanging="360"/>
      </w:pPr>
      <w:rPr>
        <w:rFonts w:ascii="Courier New" w:hAnsi="Courier New" w:cs="Courier New" w:hint="default"/>
      </w:rPr>
    </w:lvl>
    <w:lvl w:ilvl="2" w:tplc="26CE07E4" w:tentative="1">
      <w:start w:val="1"/>
      <w:numFmt w:val="bullet"/>
      <w:lvlText w:val=""/>
      <w:lvlJc w:val="left"/>
      <w:pPr>
        <w:ind w:left="2160" w:hanging="360"/>
      </w:pPr>
      <w:rPr>
        <w:rFonts w:ascii="Wingdings" w:hAnsi="Wingdings" w:hint="default"/>
      </w:rPr>
    </w:lvl>
    <w:lvl w:ilvl="3" w:tplc="01D81AC4" w:tentative="1">
      <w:start w:val="1"/>
      <w:numFmt w:val="bullet"/>
      <w:lvlText w:val=""/>
      <w:lvlJc w:val="left"/>
      <w:pPr>
        <w:ind w:left="2880" w:hanging="360"/>
      </w:pPr>
      <w:rPr>
        <w:rFonts w:ascii="Symbol" w:hAnsi="Symbol" w:hint="default"/>
      </w:rPr>
    </w:lvl>
    <w:lvl w:ilvl="4" w:tplc="42508C10" w:tentative="1">
      <w:start w:val="1"/>
      <w:numFmt w:val="bullet"/>
      <w:lvlText w:val="o"/>
      <w:lvlJc w:val="left"/>
      <w:pPr>
        <w:ind w:left="3600" w:hanging="360"/>
      </w:pPr>
      <w:rPr>
        <w:rFonts w:ascii="Courier New" w:hAnsi="Courier New" w:cs="Courier New" w:hint="default"/>
      </w:rPr>
    </w:lvl>
    <w:lvl w:ilvl="5" w:tplc="DDF6E996" w:tentative="1">
      <w:start w:val="1"/>
      <w:numFmt w:val="bullet"/>
      <w:lvlText w:val=""/>
      <w:lvlJc w:val="left"/>
      <w:pPr>
        <w:ind w:left="4320" w:hanging="360"/>
      </w:pPr>
      <w:rPr>
        <w:rFonts w:ascii="Wingdings" w:hAnsi="Wingdings" w:hint="default"/>
      </w:rPr>
    </w:lvl>
    <w:lvl w:ilvl="6" w:tplc="CC822646" w:tentative="1">
      <w:start w:val="1"/>
      <w:numFmt w:val="bullet"/>
      <w:lvlText w:val=""/>
      <w:lvlJc w:val="left"/>
      <w:pPr>
        <w:ind w:left="5040" w:hanging="360"/>
      </w:pPr>
      <w:rPr>
        <w:rFonts w:ascii="Symbol" w:hAnsi="Symbol" w:hint="default"/>
      </w:rPr>
    </w:lvl>
    <w:lvl w:ilvl="7" w:tplc="93C0C274" w:tentative="1">
      <w:start w:val="1"/>
      <w:numFmt w:val="bullet"/>
      <w:lvlText w:val="o"/>
      <w:lvlJc w:val="left"/>
      <w:pPr>
        <w:ind w:left="5760" w:hanging="360"/>
      </w:pPr>
      <w:rPr>
        <w:rFonts w:ascii="Courier New" w:hAnsi="Courier New" w:cs="Courier New" w:hint="default"/>
      </w:rPr>
    </w:lvl>
    <w:lvl w:ilvl="8" w:tplc="8A626058" w:tentative="1">
      <w:start w:val="1"/>
      <w:numFmt w:val="bullet"/>
      <w:lvlText w:val=""/>
      <w:lvlJc w:val="left"/>
      <w:pPr>
        <w:ind w:left="6480" w:hanging="360"/>
      </w:pPr>
      <w:rPr>
        <w:rFonts w:ascii="Wingdings" w:hAnsi="Wingdings" w:hint="default"/>
      </w:rPr>
    </w:lvl>
  </w:abstractNum>
  <w:abstractNum w:abstractNumId="6">
    <w:nsid w:val="52CA544A"/>
    <w:multiLevelType w:val="singleLevel"/>
    <w:tmpl w:val="AED6D67E"/>
    <w:lvl w:ilvl="0">
      <w:start w:val="1"/>
      <w:numFmt w:val="decimal"/>
      <w:lvlText w:val="[%1]"/>
      <w:lvlJc w:val="left"/>
      <w:pPr>
        <w:tabs>
          <w:tab w:val="num" w:pos="360"/>
        </w:tabs>
        <w:ind w:left="360" w:hanging="360"/>
      </w:pPr>
      <w:rPr>
        <w:rFonts w:ascii="Times New Roman" w:hAnsi="Times New Roman" w:cs="Times New Roman" w:hint="default"/>
        <w:b w:val="0"/>
        <w:i w:val="0"/>
        <w:sz w:val="16"/>
        <w:szCs w:val="16"/>
      </w:rPr>
    </w:lvl>
  </w:abstractNum>
  <w:abstractNum w:abstractNumId="7">
    <w:nsid w:val="6C402C58"/>
    <w:multiLevelType w:val="hybridMultilevel"/>
    <w:tmpl w:val="F1F87D58"/>
    <w:lvl w:ilvl="0" w:tplc="2BA24C06">
      <w:start w:val="1"/>
      <w:numFmt w:val="decimal"/>
      <w:pStyle w:val="figurecaption"/>
      <w:lvlText w:val="Figure %1. "/>
      <w:lvlJc w:val="left"/>
      <w:pPr>
        <w:tabs>
          <w:tab w:val="num" w:pos="720"/>
        </w:tabs>
      </w:pPr>
      <w:rPr>
        <w:rFonts w:ascii="Times New Roman" w:hAnsi="Times New Roman" w:cs="Times New Roman" w:hint="default"/>
        <w:b w:val="0"/>
        <w:i w:val="0"/>
        <w:color w:val="auto"/>
        <w:sz w:val="16"/>
        <w:szCs w:val="16"/>
      </w:rPr>
    </w:lvl>
    <w:lvl w:ilvl="1" w:tplc="1A7A0BA2">
      <w:start w:val="1"/>
      <w:numFmt w:val="lowerLetter"/>
      <w:lvlText w:val="%2."/>
      <w:lvlJc w:val="left"/>
      <w:pPr>
        <w:tabs>
          <w:tab w:val="num" w:pos="1440"/>
        </w:tabs>
        <w:ind w:left="1440" w:hanging="360"/>
      </w:pPr>
    </w:lvl>
    <w:lvl w:ilvl="2" w:tplc="A942B4EE">
      <w:start w:val="1"/>
      <w:numFmt w:val="lowerRoman"/>
      <w:lvlText w:val="%3."/>
      <w:lvlJc w:val="right"/>
      <w:pPr>
        <w:tabs>
          <w:tab w:val="num" w:pos="2160"/>
        </w:tabs>
        <w:ind w:left="2160" w:hanging="180"/>
      </w:pPr>
    </w:lvl>
    <w:lvl w:ilvl="3" w:tplc="7C88CF14">
      <w:start w:val="1"/>
      <w:numFmt w:val="decimal"/>
      <w:lvlText w:val="%4."/>
      <w:lvlJc w:val="left"/>
      <w:pPr>
        <w:tabs>
          <w:tab w:val="num" w:pos="2880"/>
        </w:tabs>
        <w:ind w:left="2880" w:hanging="360"/>
      </w:pPr>
    </w:lvl>
    <w:lvl w:ilvl="4" w:tplc="ECDE83F2">
      <w:start w:val="1"/>
      <w:numFmt w:val="lowerLetter"/>
      <w:lvlText w:val="%5."/>
      <w:lvlJc w:val="left"/>
      <w:pPr>
        <w:tabs>
          <w:tab w:val="num" w:pos="3600"/>
        </w:tabs>
        <w:ind w:left="3600" w:hanging="360"/>
      </w:pPr>
    </w:lvl>
    <w:lvl w:ilvl="5" w:tplc="53D0B2EA">
      <w:start w:val="1"/>
      <w:numFmt w:val="lowerRoman"/>
      <w:lvlText w:val="%6."/>
      <w:lvlJc w:val="right"/>
      <w:pPr>
        <w:tabs>
          <w:tab w:val="num" w:pos="4320"/>
        </w:tabs>
        <w:ind w:left="4320" w:hanging="180"/>
      </w:pPr>
    </w:lvl>
    <w:lvl w:ilvl="6" w:tplc="365603E6">
      <w:start w:val="1"/>
      <w:numFmt w:val="decimal"/>
      <w:lvlText w:val="%7."/>
      <w:lvlJc w:val="left"/>
      <w:pPr>
        <w:tabs>
          <w:tab w:val="num" w:pos="5040"/>
        </w:tabs>
        <w:ind w:left="5040" w:hanging="360"/>
      </w:pPr>
    </w:lvl>
    <w:lvl w:ilvl="7" w:tplc="CC08E842">
      <w:start w:val="1"/>
      <w:numFmt w:val="lowerLetter"/>
      <w:lvlText w:val="%8."/>
      <w:lvlJc w:val="left"/>
      <w:pPr>
        <w:tabs>
          <w:tab w:val="num" w:pos="5760"/>
        </w:tabs>
        <w:ind w:left="5760" w:hanging="360"/>
      </w:pPr>
    </w:lvl>
    <w:lvl w:ilvl="8" w:tplc="B1E66CC6">
      <w:start w:val="1"/>
      <w:numFmt w:val="lowerRoman"/>
      <w:lvlText w:val="%9."/>
      <w:lvlJc w:val="right"/>
      <w:pPr>
        <w:tabs>
          <w:tab w:val="num" w:pos="6480"/>
        </w:tabs>
        <w:ind w:left="6480" w:hanging="180"/>
      </w:pPr>
    </w:lvl>
  </w:abstractNum>
  <w:abstractNum w:abstractNumId="8">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i w:val="0"/>
        <w:sz w:val="16"/>
        <w:szCs w:val="16"/>
      </w:rPr>
    </w:lvl>
  </w:abstractNum>
  <w:num w:numId="1">
    <w:abstractNumId w:val="2"/>
  </w:num>
  <w:num w:numId="2">
    <w:abstractNumId w:val="7"/>
  </w:num>
  <w:num w:numId="3">
    <w:abstractNumId w:val="1"/>
  </w:num>
  <w:num w:numId="4">
    <w:abstractNumId w:val="4"/>
  </w:num>
  <w:num w:numId="5">
    <w:abstractNumId w:val="4"/>
  </w:num>
  <w:num w:numId="6">
    <w:abstractNumId w:val="4"/>
  </w:num>
  <w:num w:numId="7">
    <w:abstractNumId w:val="4"/>
  </w:num>
  <w:num w:numId="8">
    <w:abstractNumId w:val="6"/>
  </w:num>
  <w:num w:numId="9">
    <w:abstractNumId w:val="8"/>
  </w:num>
  <w:num w:numId="10">
    <w:abstractNumId w:val="3"/>
  </w:num>
  <w:num w:numId="11">
    <w:abstractNumId w:val="0"/>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oNotHyphenateCaps/>
  <w:characterSpacingControl w:val="doNotCompress"/>
  <w:footnotePr>
    <w:footnote w:id="-1"/>
    <w:footnote w:id="0"/>
  </w:footnotePr>
  <w:endnotePr>
    <w:endnote w:id="-1"/>
    <w:endnote w:id="0"/>
  </w:endnotePr>
  <w:compat/>
  <w:rsids>
    <w:rsidRoot w:val="0034689C"/>
    <w:rsid w:val="00046E83"/>
    <w:rsid w:val="000D40E6"/>
    <w:rsid w:val="001C1115"/>
    <w:rsid w:val="00255064"/>
    <w:rsid w:val="00307611"/>
    <w:rsid w:val="003425FA"/>
    <w:rsid w:val="0034689C"/>
    <w:rsid w:val="004162CF"/>
    <w:rsid w:val="005247CB"/>
    <w:rsid w:val="006A0A7E"/>
    <w:rsid w:val="007320BC"/>
    <w:rsid w:val="00794A73"/>
    <w:rsid w:val="008B1210"/>
    <w:rsid w:val="008D0BA1"/>
    <w:rsid w:val="008D3D38"/>
    <w:rsid w:val="008E6B20"/>
    <w:rsid w:val="00BF1D0E"/>
    <w:rsid w:val="00CF448A"/>
    <w:rsid w:val="00D22838"/>
    <w:rsid w:val="00D72040"/>
    <w:rsid w:val="00E03F6C"/>
    <w:rsid w:val="00EF06F5"/>
    <w:rsid w:val="00F82864"/>
    <w:rsid w:val="00FF6C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0E6"/>
    <w:pPr>
      <w:jc w:val="center"/>
    </w:pPr>
    <w:rPr>
      <w:rFonts w:eastAsia="MS Mincho"/>
    </w:rPr>
  </w:style>
  <w:style w:type="paragraph" w:styleId="Heading1">
    <w:name w:val="heading 1"/>
    <w:basedOn w:val="Normal"/>
    <w:next w:val="Normal"/>
    <w:qFormat/>
    <w:rsid w:val="000D40E6"/>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0D40E6"/>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0D40E6"/>
    <w:pPr>
      <w:numPr>
        <w:ilvl w:val="2"/>
        <w:numId w:val="6"/>
      </w:numPr>
      <w:spacing w:line="240" w:lineRule="exact"/>
      <w:jc w:val="both"/>
      <w:outlineLvl w:val="2"/>
    </w:pPr>
    <w:rPr>
      <w:i/>
      <w:iCs/>
      <w:noProof/>
    </w:rPr>
  </w:style>
  <w:style w:type="paragraph" w:styleId="Heading4">
    <w:name w:val="heading 4"/>
    <w:basedOn w:val="Normal"/>
    <w:next w:val="Normal"/>
    <w:qFormat/>
    <w:rsid w:val="000D40E6"/>
    <w:pPr>
      <w:numPr>
        <w:ilvl w:val="3"/>
        <w:numId w:val="7"/>
      </w:numPr>
      <w:spacing w:before="40" w:after="40"/>
      <w:jc w:val="both"/>
      <w:outlineLvl w:val="3"/>
    </w:pPr>
    <w:rPr>
      <w:i/>
      <w:iCs/>
      <w:noProof/>
    </w:rPr>
  </w:style>
  <w:style w:type="paragraph" w:styleId="Heading5">
    <w:name w:val="heading 5"/>
    <w:basedOn w:val="Normal"/>
    <w:next w:val="Normal"/>
    <w:qFormat/>
    <w:rsid w:val="000D40E6"/>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0D40E6"/>
    <w:pPr>
      <w:spacing w:after="200"/>
      <w:jc w:val="both"/>
    </w:pPr>
    <w:rPr>
      <w:b/>
      <w:bCs/>
      <w:sz w:val="18"/>
      <w:szCs w:val="18"/>
    </w:rPr>
  </w:style>
  <w:style w:type="paragraph" w:customStyle="1" w:styleId="Affiliation">
    <w:name w:val="Affiliation"/>
    <w:rsid w:val="000D40E6"/>
    <w:pPr>
      <w:jc w:val="center"/>
    </w:pPr>
  </w:style>
  <w:style w:type="paragraph" w:customStyle="1" w:styleId="Author">
    <w:name w:val="Author"/>
    <w:basedOn w:val="Affiliation"/>
    <w:rsid w:val="000D40E6"/>
    <w:rPr>
      <w:rFonts w:eastAsia="MS Mincho"/>
      <w:sz w:val="22"/>
      <w:szCs w:val="22"/>
      <w:lang w:val="en-GB"/>
    </w:rPr>
  </w:style>
  <w:style w:type="paragraph" w:styleId="BodyText">
    <w:name w:val="Body Text"/>
    <w:basedOn w:val="Normal"/>
    <w:semiHidden/>
    <w:rsid w:val="000D40E6"/>
    <w:pPr>
      <w:spacing w:after="120" w:line="228" w:lineRule="auto"/>
      <w:ind w:firstLine="288"/>
      <w:jc w:val="both"/>
    </w:pPr>
    <w:rPr>
      <w:spacing w:val="-1"/>
    </w:rPr>
  </w:style>
  <w:style w:type="paragraph" w:customStyle="1" w:styleId="bulletlist">
    <w:name w:val="bullet list"/>
    <w:basedOn w:val="BodyText"/>
    <w:rsid w:val="000D40E6"/>
    <w:pPr>
      <w:numPr>
        <w:numId w:val="1"/>
      </w:numPr>
    </w:pPr>
  </w:style>
  <w:style w:type="paragraph" w:customStyle="1" w:styleId="equation">
    <w:name w:val="equation"/>
    <w:basedOn w:val="Normal"/>
    <w:rsid w:val="000D40E6"/>
    <w:pPr>
      <w:tabs>
        <w:tab w:val="center" w:pos="2520"/>
        <w:tab w:val="right" w:pos="5040"/>
      </w:tabs>
      <w:spacing w:before="240" w:after="240" w:line="216" w:lineRule="auto"/>
    </w:pPr>
    <w:rPr>
      <w:rFonts w:ascii="Symbol" w:hAnsi="Symbol"/>
    </w:rPr>
  </w:style>
  <w:style w:type="paragraph" w:customStyle="1" w:styleId="figurecaption">
    <w:name w:val="figure caption"/>
    <w:rsid w:val="000D40E6"/>
    <w:pPr>
      <w:numPr>
        <w:numId w:val="2"/>
      </w:numPr>
      <w:spacing w:before="80" w:after="200"/>
      <w:jc w:val="center"/>
    </w:pPr>
    <w:rPr>
      <w:noProof/>
      <w:sz w:val="16"/>
      <w:szCs w:val="16"/>
    </w:rPr>
  </w:style>
  <w:style w:type="paragraph" w:customStyle="1" w:styleId="footnote">
    <w:name w:val="footnote"/>
    <w:rsid w:val="000D40E6"/>
    <w:pPr>
      <w:framePr w:hSpace="187" w:vSpace="187" w:wrap="notBeside" w:vAnchor="text" w:hAnchor="page" w:x="6121" w:y="577"/>
      <w:numPr>
        <w:numId w:val="3"/>
      </w:numPr>
      <w:spacing w:after="40"/>
    </w:pPr>
    <w:rPr>
      <w:sz w:val="16"/>
      <w:szCs w:val="16"/>
    </w:rPr>
  </w:style>
  <w:style w:type="paragraph" w:customStyle="1" w:styleId="keywords">
    <w:name w:val="key words"/>
    <w:rsid w:val="000D40E6"/>
    <w:pPr>
      <w:spacing w:after="120"/>
      <w:ind w:firstLine="288"/>
      <w:jc w:val="both"/>
    </w:pPr>
    <w:rPr>
      <w:b/>
      <w:bCs/>
      <w:i/>
      <w:iCs/>
      <w:noProof/>
      <w:sz w:val="18"/>
      <w:szCs w:val="18"/>
    </w:rPr>
  </w:style>
  <w:style w:type="paragraph" w:customStyle="1" w:styleId="papersubtitle">
    <w:name w:val="paper subtitle"/>
    <w:rsid w:val="000D40E6"/>
    <w:pPr>
      <w:spacing w:after="120"/>
      <w:jc w:val="center"/>
    </w:pPr>
    <w:rPr>
      <w:rFonts w:eastAsia="MS Mincho"/>
      <w:noProof/>
      <w:sz w:val="28"/>
      <w:szCs w:val="28"/>
    </w:rPr>
  </w:style>
  <w:style w:type="paragraph" w:customStyle="1" w:styleId="papertitle">
    <w:name w:val="paper title"/>
    <w:rsid w:val="000D40E6"/>
    <w:pPr>
      <w:spacing w:after="120"/>
      <w:jc w:val="center"/>
    </w:pPr>
    <w:rPr>
      <w:rFonts w:eastAsia="MS Mincho"/>
      <w:noProof/>
      <w:sz w:val="48"/>
      <w:szCs w:val="48"/>
    </w:rPr>
  </w:style>
  <w:style w:type="paragraph" w:customStyle="1" w:styleId="references">
    <w:name w:val="references"/>
    <w:rsid w:val="000D40E6"/>
    <w:pPr>
      <w:spacing w:after="50" w:line="180" w:lineRule="exact"/>
      <w:ind w:left="284" w:hanging="284"/>
      <w:jc w:val="both"/>
    </w:pPr>
    <w:rPr>
      <w:rFonts w:eastAsia="MS Mincho"/>
      <w:noProof/>
      <w:sz w:val="16"/>
      <w:szCs w:val="16"/>
    </w:rPr>
  </w:style>
  <w:style w:type="paragraph" w:customStyle="1" w:styleId="sponsors">
    <w:name w:val="sponsors"/>
    <w:rsid w:val="000D40E6"/>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0D40E6"/>
    <w:rPr>
      <w:b/>
      <w:bCs/>
      <w:sz w:val="16"/>
      <w:szCs w:val="16"/>
    </w:rPr>
  </w:style>
  <w:style w:type="paragraph" w:customStyle="1" w:styleId="tablecolsubhead">
    <w:name w:val="table col subhead"/>
    <w:basedOn w:val="tablecolhead"/>
    <w:rsid w:val="000D40E6"/>
    <w:rPr>
      <w:i/>
      <w:iCs/>
      <w:sz w:val="15"/>
      <w:szCs w:val="15"/>
    </w:rPr>
  </w:style>
  <w:style w:type="paragraph" w:customStyle="1" w:styleId="tablecopy">
    <w:name w:val="table copy"/>
    <w:rsid w:val="000D40E6"/>
    <w:pPr>
      <w:jc w:val="both"/>
    </w:pPr>
    <w:rPr>
      <w:noProof/>
      <w:sz w:val="16"/>
      <w:szCs w:val="16"/>
    </w:rPr>
  </w:style>
  <w:style w:type="paragraph" w:customStyle="1" w:styleId="tablefootnote">
    <w:name w:val="table footnote"/>
    <w:rsid w:val="000D40E6"/>
    <w:pPr>
      <w:spacing w:before="60" w:after="30"/>
      <w:jc w:val="right"/>
    </w:pPr>
    <w:rPr>
      <w:sz w:val="12"/>
      <w:szCs w:val="12"/>
    </w:rPr>
  </w:style>
  <w:style w:type="paragraph" w:customStyle="1" w:styleId="tablehead">
    <w:name w:val="table head"/>
    <w:rsid w:val="000D40E6"/>
    <w:pPr>
      <w:numPr>
        <w:numId w:val="9"/>
      </w:numPr>
      <w:spacing w:before="240" w:after="120" w:line="216" w:lineRule="auto"/>
      <w:jc w:val="center"/>
    </w:pPr>
    <w:rPr>
      <w:smallCaps/>
      <w:noProof/>
      <w:sz w:val="16"/>
      <w:szCs w:val="16"/>
    </w:rPr>
  </w:style>
  <w:style w:type="character" w:styleId="PlaceholderText">
    <w:name w:val="Placeholder Text"/>
    <w:basedOn w:val="DefaultParagraphFont"/>
    <w:semiHidden/>
    <w:rsid w:val="000D40E6"/>
    <w:rPr>
      <w:color w:val="808080"/>
    </w:rPr>
  </w:style>
  <w:style w:type="paragraph" w:styleId="BalloonText">
    <w:name w:val="Balloon Text"/>
    <w:basedOn w:val="Normal"/>
    <w:rsid w:val="000D40E6"/>
    <w:rPr>
      <w:rFonts w:ascii="Tahoma" w:hAnsi="Tahoma" w:cs="Tahoma"/>
      <w:sz w:val="16"/>
      <w:szCs w:val="16"/>
    </w:rPr>
  </w:style>
  <w:style w:type="character" w:customStyle="1" w:styleId="BalloonTextChar">
    <w:name w:val="Balloon Text Char"/>
    <w:basedOn w:val="DefaultParagraphFont"/>
    <w:rsid w:val="000D40E6"/>
    <w:rPr>
      <w:rFonts w:ascii="Tahoma" w:hAnsi="Tahoma" w:cs="Tahoma"/>
      <w:noProof w:val="0"/>
      <w:sz w:val="16"/>
      <w:szCs w:val="16"/>
      <w:lang w:val="en-US" w:eastAsia="en-US"/>
    </w:rPr>
  </w:style>
  <w:style w:type="paragraph" w:styleId="Header">
    <w:name w:val="header"/>
    <w:basedOn w:val="Normal"/>
    <w:semiHidden/>
    <w:rsid w:val="000D40E6"/>
    <w:pPr>
      <w:tabs>
        <w:tab w:val="center" w:pos="4513"/>
        <w:tab w:val="right" w:pos="9026"/>
      </w:tabs>
    </w:pPr>
  </w:style>
  <w:style w:type="character" w:customStyle="1" w:styleId="HeaderChar">
    <w:name w:val="Header Char"/>
    <w:basedOn w:val="DefaultParagraphFont"/>
    <w:rsid w:val="000D40E6"/>
    <w:rPr>
      <w:noProof w:val="0"/>
      <w:lang w:val="en-US" w:eastAsia="en-US"/>
    </w:rPr>
  </w:style>
  <w:style w:type="paragraph" w:styleId="Footer">
    <w:name w:val="footer"/>
    <w:basedOn w:val="Normal"/>
    <w:semiHidden/>
    <w:rsid w:val="000D40E6"/>
    <w:pPr>
      <w:tabs>
        <w:tab w:val="center" w:pos="4513"/>
        <w:tab w:val="right" w:pos="9026"/>
      </w:tabs>
    </w:pPr>
  </w:style>
  <w:style w:type="character" w:customStyle="1" w:styleId="FooterChar">
    <w:name w:val="Footer Char"/>
    <w:basedOn w:val="DefaultParagraphFont"/>
    <w:rsid w:val="000D40E6"/>
    <w:rPr>
      <w:noProof w:val="0"/>
      <w:lang w:val="en-US" w:eastAsia="en-US"/>
    </w:rPr>
  </w:style>
  <w:style w:type="paragraph" w:styleId="Caption">
    <w:name w:val="caption"/>
    <w:basedOn w:val="Normal"/>
    <w:next w:val="Normal"/>
    <w:qFormat/>
    <w:rsid w:val="000D40E6"/>
    <w:pPr>
      <w:spacing w:after="200"/>
    </w:pPr>
    <w:rPr>
      <w:b/>
      <w:bCs/>
      <w:color w:val="4F81BD"/>
      <w:sz w:val="18"/>
      <w:szCs w:val="18"/>
    </w:rPr>
  </w:style>
  <w:style w:type="character" w:customStyle="1" w:styleId="Heading1Char">
    <w:name w:val="Heading 1 Char"/>
    <w:basedOn w:val="DefaultParagraphFont"/>
    <w:rsid w:val="000D40E6"/>
    <w:rPr>
      <w:rFonts w:eastAsia="MS Mincho"/>
      <w:smallCaps/>
      <w:noProof/>
      <w:lang w:val="en-US" w:eastAsia="en-US"/>
    </w:rPr>
  </w:style>
  <w:style w:type="character" w:styleId="Hyperlink">
    <w:name w:val="Hyperlink"/>
    <w:basedOn w:val="DefaultParagraphFont"/>
    <w:semiHidden/>
    <w:rsid w:val="000D40E6"/>
    <w:rPr>
      <w:color w:val="0000FF"/>
      <w:u w:val="single"/>
    </w:rPr>
  </w:style>
  <w:style w:type="paragraph" w:styleId="DocumentMap">
    <w:name w:val="Document Map"/>
    <w:basedOn w:val="Normal"/>
    <w:link w:val="DocumentMapChar"/>
    <w:uiPriority w:val="99"/>
    <w:semiHidden/>
    <w:unhideWhenUsed/>
    <w:rsid w:val="004162CF"/>
    <w:rPr>
      <w:rFonts w:ascii="Tahoma" w:hAnsi="Tahoma" w:cs="Tahoma"/>
      <w:sz w:val="16"/>
      <w:szCs w:val="16"/>
    </w:rPr>
  </w:style>
  <w:style w:type="character" w:customStyle="1" w:styleId="DocumentMapChar">
    <w:name w:val="Document Map Char"/>
    <w:basedOn w:val="DefaultParagraphFont"/>
    <w:link w:val="DocumentMap"/>
    <w:uiPriority w:val="99"/>
    <w:semiHidden/>
    <w:rsid w:val="004162CF"/>
    <w:rPr>
      <w:rFonts w:ascii="Tahoma" w:eastAsia="MS Mincho"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Pages>
  <Words>3064</Words>
  <Characters>17469</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20493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Admin_2</cp:lastModifiedBy>
  <cp:revision>6</cp:revision>
  <cp:lastPrinted>2010-04-08T16:38:00Z</cp:lastPrinted>
  <dcterms:created xsi:type="dcterms:W3CDTF">2010-04-08T16:22:00Z</dcterms:created>
  <dcterms:modified xsi:type="dcterms:W3CDTF">2010-04-08T16:56:00Z</dcterms:modified>
</cp:coreProperties>
</file>